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0" w:line="240" w:lineRule="auto"/>
        <w:jc w:val="center"/>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Аналитическая записка</w:t>
      </w:r>
    </w:p>
    <w:p>
      <w:pPr>
        <w:suppressAutoHyphens/>
        <w:spacing w:after="0" w:line="240" w:lineRule="auto"/>
        <w:jc w:val="center"/>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о результатах оценки эффективности предоставленных налоговых расходов Белоярского района за 2023 год</w:t>
      </w:r>
    </w:p>
    <w:p>
      <w:pPr>
        <w:suppressAutoHyphens/>
        <w:spacing w:after="0" w:line="240" w:lineRule="auto"/>
        <w:ind w:left="360"/>
        <w:jc w:val="center"/>
        <w:rPr>
          <w:rFonts w:ascii="Times New Roman" w:hAnsi="Times New Roman" w:eastAsia="Calibri" w:cs="Times New Roman"/>
          <w:b/>
          <w:sz w:val="24"/>
          <w:szCs w:val="24"/>
          <w:lang w:eastAsia="zh-CN"/>
        </w:rPr>
      </w:pPr>
    </w:p>
    <w:p>
      <w:pPr>
        <w:suppressAutoHyphens/>
        <w:spacing w:after="0" w:line="240" w:lineRule="auto"/>
        <w:ind w:firstLine="851"/>
        <w:jc w:val="both"/>
        <w:rPr>
          <w:rFonts w:ascii="Times New Roman" w:hAnsi="Times New Roman" w:eastAsia="Calibri" w:cs="Times New Roman"/>
          <w:b/>
          <w:sz w:val="24"/>
          <w:szCs w:val="24"/>
          <w:lang w:eastAsia="zh-CN"/>
        </w:rPr>
      </w:pPr>
    </w:p>
    <w:p>
      <w:pPr>
        <w:suppressAutoHyphens/>
        <w:spacing w:after="0" w:line="240" w:lineRule="auto"/>
        <w:ind w:firstLine="660" w:firstLineChars="275"/>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Оценка эффективности предоставленных налоговых расходов Белоярского района (далее - района) за 2023 год проведена в соответствии с Порядком, утверждённым постановлением администрации Белоярского района от 20 августа 2020 года № 738 «Об утверждении Порядка оценки налоговых расходов Белоярского района и поселений в границах Белоярского района». Направлена на оптимизацию перечня налоговых преференций, установленных нормативными правовыми актами представительных органов местного самоуправления района по налогам и сборам, обеспечение оптимального выбора объектов для предоставления государственной (муниципальной) поддержки в виде данных налоговых преференций.</w:t>
      </w:r>
    </w:p>
    <w:p>
      <w:pPr>
        <w:suppressAutoHyphens/>
        <w:spacing w:after="0" w:line="240" w:lineRule="auto"/>
        <w:ind w:firstLine="660" w:firstLineChars="275"/>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Перечень налоговых расходов района (далее - Перечень) сформирован Комитетом по финансам и налоговой политике администрации Белоярского района в соответствии с Порядком, утверждённым постановлением администрации Белоярского района от 23 июня 2020 года № 550 «Об утверждении Порядка формирования перечня налоговых расходов Белоярского района и поселений в границах Белоярского района».</w:t>
      </w:r>
    </w:p>
    <w:p>
      <w:pPr>
        <w:suppressAutoHyphens/>
        <w:spacing w:after="0" w:line="240" w:lineRule="auto"/>
        <w:ind w:firstLine="660" w:firstLineChars="275"/>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В Перечень включено 9 видов налоговых расходов, обусловленных льготами, пониженными ставками и иными преференциями по местным налогам (земельный налог, налог на имущество физических лиц). Налоговые расходы соответствуют целям 5 муниципальных программ Белоярского района и 1 цели Стратегии социально-экономического развития Белоярского района. </w:t>
      </w:r>
    </w:p>
    <w:p>
      <w:pPr>
        <w:suppressAutoHyphens/>
        <w:spacing w:after="0" w:line="240" w:lineRule="auto"/>
        <w:ind w:firstLine="660" w:firstLineChars="275"/>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Определены типы налоговых расходов в зависимости от целевой категории: стимулирующие, социальные и технические.</w:t>
      </w:r>
    </w:p>
    <w:p>
      <w:pPr>
        <w:suppressAutoHyphens/>
        <w:spacing w:after="0" w:line="240" w:lineRule="auto"/>
        <w:ind w:firstLine="660" w:firstLineChars="275"/>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Оценка эффективности предоставленных налоговых расходов проведена кураторами налоговых расходов района, на основе результатов которых подготовлена настоящая Аналитическая записка и сводный отчет об оценке эффективности предоставленных налоговых расходов района за 2023 год (приложение 2 к аналитической записке).</w:t>
      </w:r>
    </w:p>
    <w:p>
      <w:pPr>
        <w:suppressAutoHyphens/>
        <w:spacing w:after="0" w:line="240" w:lineRule="auto"/>
        <w:ind w:firstLine="851"/>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Информация о структуре и динамике налоговых расходов района по видам налогов за 2021 – 2023 годы представлена в таблице 1. </w:t>
      </w:r>
    </w:p>
    <w:p>
      <w:pPr>
        <w:widowControl w:val="0"/>
        <w:suppressAutoHyphens/>
        <w:autoSpaceDE w:val="0"/>
        <w:spacing w:after="0" w:line="240" w:lineRule="auto"/>
        <w:ind w:firstLine="709"/>
        <w:jc w:val="right"/>
        <w:textAlignment w:val="baseline"/>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Таблица 1</w:t>
      </w:r>
    </w:p>
    <w:p>
      <w:pPr>
        <w:widowControl w:val="0"/>
        <w:suppressAutoHyphens/>
        <w:autoSpaceDE w:val="0"/>
        <w:spacing w:after="0" w:line="240" w:lineRule="auto"/>
        <w:ind w:firstLine="709"/>
        <w:jc w:val="both"/>
        <w:textAlignment w:val="baseline"/>
        <w:rPr>
          <w:rFonts w:ascii="Times New Roman" w:hAnsi="Times New Roman" w:eastAsia="Calibri" w:cs="Times New Roman"/>
          <w:sz w:val="24"/>
          <w:szCs w:val="24"/>
          <w:lang w:eastAsia="zh-CN"/>
        </w:rPr>
      </w:pPr>
    </w:p>
    <w:p>
      <w:pPr>
        <w:widowControl w:val="0"/>
        <w:suppressAutoHyphens/>
        <w:autoSpaceDE w:val="0"/>
        <w:spacing w:after="0" w:line="240" w:lineRule="auto"/>
        <w:jc w:val="center"/>
        <w:textAlignment w:val="baseline"/>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t xml:space="preserve">Структура и динамика налоговых расходов по видам налогов  </w:t>
      </w:r>
    </w:p>
    <w:p>
      <w:pPr>
        <w:widowControl w:val="0"/>
        <w:suppressAutoHyphens/>
        <w:autoSpaceDE w:val="0"/>
        <w:spacing w:after="0" w:line="240" w:lineRule="auto"/>
        <w:jc w:val="center"/>
        <w:textAlignment w:val="baseline"/>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t>за 20</w:t>
      </w:r>
      <w:r>
        <w:rPr>
          <w:rFonts w:ascii="Times New Roman" w:hAnsi="Times New Roman" w:eastAsia="Calibri" w:cs="Times New Roman"/>
          <w:b/>
          <w:sz w:val="24"/>
          <w:szCs w:val="24"/>
          <w:lang w:val="en-US" w:eastAsia="zh-CN"/>
        </w:rPr>
        <w:t>2</w:t>
      </w:r>
      <w:r>
        <w:rPr>
          <w:rFonts w:ascii="Times New Roman" w:hAnsi="Times New Roman" w:eastAsia="Calibri" w:cs="Times New Roman"/>
          <w:b/>
          <w:sz w:val="24"/>
          <w:szCs w:val="24"/>
          <w:lang w:eastAsia="zh-CN"/>
        </w:rPr>
        <w:t>1 – 2023 годы</w:t>
      </w:r>
    </w:p>
    <w:p>
      <w:pPr>
        <w:widowControl w:val="0"/>
        <w:suppressAutoHyphens/>
        <w:autoSpaceDE w:val="0"/>
        <w:spacing w:after="0" w:line="240" w:lineRule="auto"/>
        <w:jc w:val="right"/>
        <w:textAlignment w:val="baseline"/>
        <w:rPr>
          <w:rFonts w:ascii="Times New Roman" w:hAnsi="Times New Roman" w:eastAsia="Times New Roman" w:cs="Times New Roman"/>
          <w:b/>
          <w:kern w:val="2"/>
          <w:sz w:val="20"/>
          <w:szCs w:val="20"/>
          <w:lang w:eastAsia="zh-CN"/>
        </w:rPr>
      </w:pPr>
      <w:r>
        <w:rPr>
          <w:rFonts w:ascii="Times New Roman" w:hAnsi="Times New Roman" w:eastAsia="Times New Roman" w:cs="Times New Roman"/>
          <w:b/>
          <w:kern w:val="2"/>
          <w:sz w:val="20"/>
          <w:szCs w:val="20"/>
          <w:lang w:eastAsia="zh-CN"/>
        </w:rPr>
        <w:t>(тыс. рублей)</w:t>
      </w:r>
    </w:p>
    <w:tbl>
      <w:tblPr>
        <w:tblStyle w:val="3"/>
        <w:tblW w:w="9160" w:type="dxa"/>
        <w:tblInd w:w="-5" w:type="dxa"/>
        <w:tblLayout w:type="fixed"/>
        <w:tblCellMar>
          <w:top w:w="0" w:type="dxa"/>
          <w:left w:w="108" w:type="dxa"/>
          <w:bottom w:w="0" w:type="dxa"/>
          <w:right w:w="108" w:type="dxa"/>
        </w:tblCellMar>
      </w:tblPr>
      <w:tblGrid>
        <w:gridCol w:w="851"/>
        <w:gridCol w:w="4499"/>
        <w:gridCol w:w="1171"/>
        <w:gridCol w:w="1363"/>
        <w:gridCol w:w="1276"/>
      </w:tblGrid>
      <w:tr>
        <w:tblPrEx>
          <w:tblCellMar>
            <w:top w:w="0" w:type="dxa"/>
            <w:left w:w="108" w:type="dxa"/>
            <w:bottom w:w="0" w:type="dxa"/>
            <w:right w:w="108" w:type="dxa"/>
          </w:tblCellMar>
        </w:tblPrEx>
        <w:trPr>
          <w:tblHeader/>
        </w:trPr>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b/>
                <w:kern w:val="2"/>
                <w:lang w:eastAsia="zh-CN"/>
              </w:rPr>
              <w:t>№ п/п</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b/>
                <w:kern w:val="2"/>
                <w:lang w:eastAsia="zh-CN"/>
              </w:rPr>
              <w:t>Наименование показателей</w:t>
            </w:r>
          </w:p>
        </w:tc>
        <w:tc>
          <w:tcPr>
            <w:tcW w:w="117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b/>
                <w:kern w:val="2"/>
                <w:lang w:eastAsia="zh-CN"/>
              </w:rPr>
            </w:pPr>
            <w:r>
              <w:rPr>
                <w:rFonts w:ascii="Times New Roman" w:hAnsi="Times New Roman" w:eastAsia="Times New Roman" w:cs="Times New Roman"/>
                <w:b/>
                <w:kern w:val="2"/>
                <w:lang w:eastAsia="zh-CN"/>
              </w:rPr>
              <w:t>2021 год</w:t>
            </w:r>
          </w:p>
        </w:tc>
        <w:tc>
          <w:tcPr>
            <w:tcW w:w="1363" w:type="dxa"/>
            <w:tcBorders>
              <w:top w:val="single" w:color="000000" w:sz="4" w:space="0"/>
              <w:left w:val="single" w:color="000000" w:sz="4" w:space="0"/>
              <w:bottom w:val="single" w:color="000000" w:sz="4" w:space="0"/>
              <w:right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b/>
                <w:kern w:val="2"/>
                <w:lang w:eastAsia="zh-CN"/>
              </w:rPr>
            </w:pPr>
            <w:r>
              <w:rPr>
                <w:rFonts w:ascii="Times New Roman" w:hAnsi="Times New Roman" w:eastAsia="Times New Roman" w:cs="Times New Roman"/>
                <w:b/>
                <w:kern w:val="2"/>
                <w:lang w:eastAsia="zh-CN"/>
              </w:rPr>
              <w:t>2022 год</w:t>
            </w:r>
          </w:p>
        </w:tc>
        <w:tc>
          <w:tcPr>
            <w:tcW w:w="1276"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40" w:lineRule="auto"/>
              <w:jc w:val="center"/>
              <w:textAlignment w:val="baseline"/>
              <w:rPr>
                <w:rFonts w:ascii="Times New Roman" w:hAnsi="Times New Roman" w:eastAsia="Times New Roman" w:cs="Times New Roman"/>
                <w:b/>
                <w:kern w:val="2"/>
                <w:lang w:eastAsia="zh-CN"/>
              </w:rPr>
            </w:pPr>
            <w:r>
              <w:rPr>
                <w:rFonts w:ascii="Times New Roman" w:hAnsi="Times New Roman" w:eastAsia="Times New Roman" w:cs="Times New Roman"/>
                <w:b/>
                <w:kern w:val="2"/>
                <w:lang w:eastAsia="zh-CN"/>
              </w:rPr>
              <w:t>2023 год</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1</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Calibri" w:cs="Times New Roman"/>
                <w:lang w:eastAsia="zh-CN"/>
              </w:rPr>
            </w:pPr>
            <w:r>
              <w:rPr>
                <w:rFonts w:ascii="Times New Roman" w:hAnsi="Times New Roman" w:eastAsia="Calibri" w:cs="Times New Roman"/>
                <w:lang w:eastAsia="zh-CN"/>
              </w:rPr>
              <w:t>Объем налоговых и неналоговых доходов бюджета Белоярского района</w:t>
            </w:r>
          </w:p>
        </w:tc>
        <w:tc>
          <w:tcPr>
            <w:tcW w:w="1171"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806 501,5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901 780,2</w:t>
            </w:r>
          </w:p>
        </w:tc>
        <w:tc>
          <w:tcPr>
            <w:tcW w:w="1276"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1</w:t>
            </w:r>
            <w:r>
              <w:rPr>
                <w:rFonts w:ascii="Times New Roman" w:hAnsi="Times New Roman" w:eastAsia="Times New Roman" w:cs="Times New Roman"/>
                <w:kern w:val="2"/>
                <w:lang w:val="en-US" w:eastAsia="zh-CN"/>
              </w:rPr>
              <w:t xml:space="preserve"> </w:t>
            </w:r>
            <w:r>
              <w:rPr>
                <w:rFonts w:ascii="Times New Roman" w:hAnsi="Times New Roman" w:eastAsia="Times New Roman" w:cs="Times New Roman"/>
                <w:kern w:val="2"/>
                <w:lang w:eastAsia="zh-CN"/>
              </w:rPr>
              <w:t>006</w:t>
            </w:r>
            <w:r>
              <w:rPr>
                <w:rFonts w:ascii="Times New Roman" w:hAnsi="Times New Roman" w:eastAsia="Times New Roman" w:cs="Times New Roman"/>
                <w:kern w:val="2"/>
                <w:lang w:val="en-US" w:eastAsia="zh-CN"/>
              </w:rPr>
              <w:t xml:space="preserve"> </w:t>
            </w:r>
            <w:r>
              <w:rPr>
                <w:rFonts w:ascii="Times New Roman" w:hAnsi="Times New Roman" w:eastAsia="Times New Roman" w:cs="Times New Roman"/>
                <w:kern w:val="2"/>
                <w:lang w:eastAsia="zh-CN"/>
              </w:rPr>
              <w:t>215,7</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1.1</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Налоговые расходы, обусловленные льготами, пониженными ставками и иными преференциями, установленными муниципальными правовыми актами представительного органа Белоярского района по налогам и сборам, всего:</w:t>
            </w:r>
          </w:p>
        </w:tc>
        <w:tc>
          <w:tcPr>
            <w:tcW w:w="1171"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0,00</w:t>
            </w:r>
          </w:p>
        </w:tc>
        <w:tc>
          <w:tcPr>
            <w:tcW w:w="1276"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 xml:space="preserve"> 1.2</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Темп роста (снижения) суммы налоговых расходов к предыдущему году, %</w:t>
            </w:r>
          </w:p>
        </w:tc>
        <w:tc>
          <w:tcPr>
            <w:tcW w:w="1171"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0,00</w:t>
            </w:r>
          </w:p>
        </w:tc>
        <w:tc>
          <w:tcPr>
            <w:tcW w:w="1276"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1.3</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В процентах к объему налоговых и неналоговых доходов</w:t>
            </w:r>
          </w:p>
        </w:tc>
        <w:tc>
          <w:tcPr>
            <w:tcW w:w="1171"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1276"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r>
      <w:tr>
        <w:tblPrEx>
          <w:tblCellMar>
            <w:top w:w="0" w:type="dxa"/>
            <w:left w:w="108" w:type="dxa"/>
            <w:bottom w:w="0" w:type="dxa"/>
            <w:right w:w="108" w:type="dxa"/>
          </w:tblCellMar>
        </w:tblPrEx>
        <w:trPr>
          <w:trHeight w:val="409" w:hRule="atLeast"/>
        </w:trPr>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2</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 xml:space="preserve">Поступления по  земельному налогу </w:t>
            </w:r>
          </w:p>
        </w:tc>
        <w:tc>
          <w:tcPr>
            <w:tcW w:w="1171"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21,2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1276"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-18,8</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2.1</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 xml:space="preserve">Выпадающие доходы, обусловленные предоставленными преференциями в соответствии с решением Думы Белоярского района от 22.10.2010 года № 84 </w:t>
            </w:r>
          </w:p>
          <w:p>
            <w:pPr>
              <w:widowControl w:val="0"/>
              <w:suppressAutoHyphens/>
              <w:spacing w:after="0" w:line="240" w:lineRule="auto"/>
              <w:jc w:val="both"/>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«О земельном налоге на межселенной территории Белоярского района»</w:t>
            </w:r>
          </w:p>
        </w:tc>
        <w:tc>
          <w:tcPr>
            <w:tcW w:w="1171"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1276"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2.2</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Темп роста (снижения) суммы налоговых расходов к предыдущему году, %</w:t>
            </w:r>
          </w:p>
        </w:tc>
        <w:tc>
          <w:tcPr>
            <w:tcW w:w="1171"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0,00</w:t>
            </w:r>
          </w:p>
        </w:tc>
        <w:tc>
          <w:tcPr>
            <w:tcW w:w="1276"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2.3</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В процентах к поступлению по земельному налогу</w:t>
            </w:r>
          </w:p>
        </w:tc>
        <w:tc>
          <w:tcPr>
            <w:tcW w:w="1171"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1276"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3</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 xml:space="preserve">Поступления по налогу на имущество физических лиц </w:t>
            </w:r>
          </w:p>
        </w:tc>
        <w:tc>
          <w:tcPr>
            <w:tcW w:w="1171" w:type="dxa"/>
            <w:tcBorders>
              <w:top w:val="single" w:color="000000" w:sz="4" w:space="0"/>
              <w:left w:val="single" w:color="000000" w:sz="4" w:space="0"/>
              <w:bottom w:val="single" w:color="000000" w:sz="4" w:space="0"/>
            </w:tcBorders>
            <w:shd w:val="clear" w:color="auto" w:fill="auto"/>
            <w:vAlign w:val="center"/>
          </w:tcPr>
          <w:p>
            <w:pPr>
              <w:widowControl w:val="0"/>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14,3</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val="0"/>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21,2</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3.1</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 xml:space="preserve">Выпадающие доходы, обусловленные предоставленными преференциями в соответствии с решением Думы Белоярского района от 29.10.2014 года № 486 </w:t>
            </w:r>
          </w:p>
          <w:p>
            <w:pPr>
              <w:widowControl w:val="0"/>
              <w:suppressAutoHyphens/>
              <w:spacing w:after="0" w:line="240" w:lineRule="auto"/>
              <w:jc w:val="both"/>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 xml:space="preserve">«Об утверждении Положения о налоге на имущество физических лиц на межселенной территории Белоярского района» </w:t>
            </w:r>
          </w:p>
        </w:tc>
        <w:tc>
          <w:tcPr>
            <w:tcW w:w="1171"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1276"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3.2</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Темп роста (снижения) суммы налоговых расходов к предыдущему году, %</w:t>
            </w:r>
          </w:p>
        </w:tc>
        <w:tc>
          <w:tcPr>
            <w:tcW w:w="1171"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1276"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3.3</w:t>
            </w:r>
          </w:p>
        </w:tc>
        <w:tc>
          <w:tcPr>
            <w:tcW w:w="4499"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В процентах к поступлению по налогу на имущество физических лиц</w:t>
            </w:r>
          </w:p>
        </w:tc>
        <w:tc>
          <w:tcPr>
            <w:tcW w:w="1171"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1276"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r>
    </w:tbl>
    <w:p>
      <w:pPr>
        <w:widowControl w:val="0"/>
        <w:suppressAutoHyphens/>
        <w:spacing w:after="0" w:line="240" w:lineRule="auto"/>
        <w:ind w:firstLine="567"/>
        <w:jc w:val="both"/>
        <w:textAlignment w:val="baseline"/>
        <w:rPr>
          <w:rFonts w:ascii="Times New Roman" w:hAnsi="Times New Roman" w:eastAsia="Times New Roman" w:cs="Times New Roman"/>
          <w:kern w:val="2"/>
          <w:sz w:val="24"/>
          <w:szCs w:val="24"/>
          <w:lang w:eastAsia="zh-CN"/>
        </w:rPr>
      </w:pPr>
    </w:p>
    <w:p>
      <w:pPr>
        <w:widowControl w:val="0"/>
        <w:suppressAutoHyphens/>
        <w:spacing w:after="0" w:line="240" w:lineRule="auto"/>
        <w:ind w:firstLine="567"/>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В соответствии с формой № 5-МН «Отчет о налоговой базе и структуре начислений по местным налогам» за 2023 год по Белоярскому району:</w:t>
      </w:r>
    </w:p>
    <w:p>
      <w:pPr>
        <w:widowControl w:val="0"/>
        <w:suppressAutoHyphens/>
        <w:spacing w:after="0" w:line="240" w:lineRule="auto"/>
        <w:ind w:firstLine="567"/>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 </w:t>
      </w:r>
      <w:r>
        <w:rPr>
          <w:rFonts w:ascii="Times New Roman" w:hAnsi="Times New Roman" w:eastAsia="Times New Roman" w:cs="Times New Roman"/>
          <w:b/>
          <w:i/>
          <w:kern w:val="2"/>
          <w:sz w:val="24"/>
          <w:szCs w:val="24"/>
          <w:lang w:eastAsia="zh-CN"/>
        </w:rPr>
        <w:t>по земельному налогу организаций</w:t>
      </w:r>
      <w:r>
        <w:rPr>
          <w:rFonts w:ascii="Times New Roman" w:hAnsi="Times New Roman" w:eastAsia="Times New Roman" w:cs="Times New Roman"/>
          <w:kern w:val="2"/>
          <w:sz w:val="24"/>
          <w:szCs w:val="24"/>
          <w:lang w:eastAsia="zh-CN"/>
        </w:rPr>
        <w:t xml:space="preserve"> на межселенной территории Белоярского района - количество налогоплательщиков составило 2 единицы, им же были представлены налоговые льготы. В базе данных налоговых органов учтено 9 земельных участков с кадастровой стоимостью (с учетом льгот) 858 тыс. рублей. Льготой, установленной пунктом 6 решения Думы Белоярского района от 22.10.2010 года № 84 «О земельном налоге на межселенной территории Белоярского района, воспользовался орган администрации Белоярского района – Комитет муниципальной собственности администрации Белоярского района. За 2023 год земельный налог в бюджет Белоярского района не поступил;</w:t>
      </w:r>
    </w:p>
    <w:p>
      <w:pPr>
        <w:widowControl w:val="0"/>
        <w:suppressAutoHyphens/>
        <w:spacing w:after="0" w:line="240" w:lineRule="auto"/>
        <w:ind w:firstLine="567"/>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 </w:t>
      </w:r>
      <w:r>
        <w:rPr>
          <w:rFonts w:ascii="Times New Roman" w:hAnsi="Times New Roman" w:eastAsia="Times New Roman" w:cs="Times New Roman"/>
          <w:b/>
          <w:i/>
          <w:kern w:val="2"/>
          <w:sz w:val="24"/>
          <w:szCs w:val="24"/>
          <w:lang w:eastAsia="zh-CN"/>
        </w:rPr>
        <w:t>по земельному налогу физических лиц</w:t>
      </w:r>
      <w:r>
        <w:rPr>
          <w:rFonts w:ascii="Times New Roman" w:hAnsi="Times New Roman" w:eastAsia="Times New Roman" w:cs="Times New Roman"/>
          <w:kern w:val="2"/>
          <w:sz w:val="24"/>
          <w:szCs w:val="24"/>
          <w:lang w:eastAsia="zh-CN"/>
        </w:rPr>
        <w:t xml:space="preserve"> на межселенной территории Белоярского района за 2023 год отсутствует количество налогоплательщиков, учтенных в базе данных налоговых органов;</w:t>
      </w:r>
    </w:p>
    <w:p>
      <w:pPr>
        <w:widowControl w:val="0"/>
        <w:suppressAutoHyphens/>
        <w:spacing w:after="0" w:line="240" w:lineRule="auto"/>
        <w:ind w:firstLine="567"/>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 - </w:t>
      </w:r>
      <w:r>
        <w:rPr>
          <w:rFonts w:ascii="Times New Roman" w:hAnsi="Times New Roman" w:eastAsia="Times New Roman" w:cs="Times New Roman"/>
          <w:b/>
          <w:i/>
          <w:kern w:val="2"/>
          <w:sz w:val="24"/>
          <w:szCs w:val="24"/>
          <w:lang w:eastAsia="zh-CN"/>
        </w:rPr>
        <w:t>по налогу на имущество физических лиц</w:t>
      </w:r>
      <w:r>
        <w:rPr>
          <w:rFonts w:ascii="Times New Roman" w:hAnsi="Times New Roman" w:eastAsia="Times New Roman" w:cs="Times New Roman"/>
          <w:kern w:val="2"/>
          <w:sz w:val="24"/>
          <w:szCs w:val="24"/>
          <w:lang w:eastAsia="zh-CN"/>
        </w:rPr>
        <w:t xml:space="preserve"> на межселенной территории Белоярского района количество налогоплательщиков, учтенных в базе данных налоговых органов, за 2023 год составило 57 единиц, в том числе налог исчислен по 54 налогоплательщикам. Количество строений, помещений и сооружений, по которым налог предъявлен к уплате составило 50 единиц, в том числе 14 жилых домов, 1 жилых помещений (квартира, комната), 33 гаражей и машино-мест, 2 иных строений, помещений и сооружений. Общая кадастровая стоимость, по которой предъявлен налог к уплате составила 34 095 тыс. рублей. Сумма, подлежащая уплате, составила 40 тыс. рублей, фактически поступило в бюджет Белоярского района в 2023 году 21,2 тыс. рублей. За отчетный год отсутствуют категории налогоплательщиков, которым были представлены налоговые льготы.       </w:t>
      </w:r>
    </w:p>
    <w:p>
      <w:pPr>
        <w:widowControl w:val="0"/>
        <w:suppressAutoHyphens/>
        <w:spacing w:after="0" w:line="240" w:lineRule="auto"/>
        <w:ind w:firstLine="567"/>
        <w:jc w:val="both"/>
        <w:textAlignment w:val="baseline"/>
        <w:rPr>
          <w:rFonts w:ascii="Times New Roman" w:hAnsi="Times New Roman" w:eastAsia="Times New Roman" w:cs="Times New Roman"/>
          <w:kern w:val="2"/>
          <w:sz w:val="24"/>
          <w:szCs w:val="24"/>
          <w:lang w:eastAsia="zh-CN"/>
        </w:rPr>
      </w:pPr>
    </w:p>
    <w:p>
      <w:pPr>
        <w:widowControl w:val="0"/>
        <w:suppressAutoHyphens/>
        <w:spacing w:after="0" w:line="240" w:lineRule="auto"/>
        <w:ind w:firstLine="567"/>
        <w:jc w:val="both"/>
        <w:textAlignment w:val="baseline"/>
        <w:rPr>
          <w:rFonts w:ascii="Times New Roman" w:hAnsi="Times New Roman" w:eastAsia="Times New Roman" w:cs="Times New Roman"/>
          <w:kern w:val="2"/>
          <w:sz w:val="24"/>
          <w:szCs w:val="24"/>
          <w:lang w:eastAsia="zh-CN"/>
        </w:rPr>
      </w:pPr>
    </w:p>
    <w:p>
      <w:pPr>
        <w:widowControl w:val="0"/>
        <w:suppressAutoHyphens/>
        <w:spacing w:after="0" w:line="240" w:lineRule="auto"/>
        <w:ind w:firstLine="567"/>
        <w:jc w:val="both"/>
        <w:textAlignment w:val="baseline"/>
        <w:rPr>
          <w:rFonts w:ascii="Times New Roman" w:hAnsi="Times New Roman" w:eastAsia="Times New Roman" w:cs="Times New Roman"/>
          <w:kern w:val="2"/>
          <w:sz w:val="24"/>
          <w:szCs w:val="24"/>
          <w:lang w:eastAsia="zh-CN"/>
        </w:rPr>
      </w:pPr>
    </w:p>
    <w:p>
      <w:pPr>
        <w:widowControl w:val="0"/>
        <w:suppressAutoHyphens/>
        <w:spacing w:after="0" w:line="240" w:lineRule="auto"/>
        <w:ind w:firstLine="567"/>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Информация о структуре типов налоговых расходов района за период 2021 – 2023 годов представлена в таблице 2.</w:t>
      </w:r>
    </w:p>
    <w:p>
      <w:pPr>
        <w:widowControl w:val="0"/>
        <w:suppressAutoHyphens/>
        <w:spacing w:after="0" w:line="240" w:lineRule="auto"/>
        <w:ind w:firstLine="709"/>
        <w:jc w:val="right"/>
        <w:textAlignment w:val="baseline"/>
        <w:rPr>
          <w:rFonts w:ascii="Times New Roman" w:hAnsi="Times New Roman" w:eastAsia="Times New Roman" w:cs="Times New Roman"/>
          <w:kern w:val="2"/>
          <w:sz w:val="24"/>
          <w:szCs w:val="24"/>
          <w:lang w:eastAsia="zh-CN"/>
        </w:rPr>
      </w:pPr>
    </w:p>
    <w:p>
      <w:pPr>
        <w:widowControl w:val="0"/>
        <w:suppressAutoHyphens/>
        <w:spacing w:after="0" w:line="240" w:lineRule="auto"/>
        <w:ind w:firstLine="709"/>
        <w:jc w:val="right"/>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Таблица 2</w:t>
      </w:r>
    </w:p>
    <w:p>
      <w:pPr>
        <w:widowControl w:val="0"/>
        <w:suppressAutoHyphens/>
        <w:spacing w:after="0" w:line="240" w:lineRule="auto"/>
        <w:jc w:val="center"/>
        <w:textAlignment w:val="baseline"/>
        <w:rPr>
          <w:rFonts w:ascii="Times New Roman" w:hAnsi="Times New Roman" w:eastAsia="Times New Roman" w:cs="Times New Roman"/>
          <w:b/>
          <w:kern w:val="2"/>
          <w:sz w:val="24"/>
          <w:szCs w:val="24"/>
          <w:lang w:eastAsia="zh-CN"/>
        </w:rPr>
      </w:pPr>
    </w:p>
    <w:p>
      <w:pPr>
        <w:widowControl w:val="0"/>
        <w:suppressAutoHyphens/>
        <w:spacing w:after="0" w:line="240" w:lineRule="auto"/>
        <w:jc w:val="center"/>
        <w:textAlignment w:val="baseline"/>
        <w:rPr>
          <w:rFonts w:ascii="Times New Roman" w:hAnsi="Times New Roman" w:eastAsia="Times New Roman" w:cs="Times New Roman"/>
          <w:b/>
          <w:kern w:val="2"/>
          <w:sz w:val="24"/>
          <w:szCs w:val="24"/>
          <w:lang w:eastAsia="zh-CN"/>
        </w:rPr>
      </w:pPr>
      <w:r>
        <w:rPr>
          <w:rFonts w:ascii="Times New Roman" w:hAnsi="Times New Roman" w:eastAsia="Times New Roman" w:cs="Times New Roman"/>
          <w:b/>
          <w:kern w:val="2"/>
          <w:sz w:val="24"/>
          <w:szCs w:val="24"/>
          <w:lang w:eastAsia="zh-CN"/>
        </w:rPr>
        <w:t>Структура типов налоговых расходов за период 2021 – 2023 годов</w:t>
      </w:r>
    </w:p>
    <w:p>
      <w:pPr>
        <w:widowControl w:val="0"/>
        <w:suppressAutoHyphens/>
        <w:spacing w:after="0" w:line="240" w:lineRule="auto"/>
        <w:jc w:val="center"/>
        <w:textAlignment w:val="baseline"/>
        <w:rPr>
          <w:rFonts w:ascii="Times New Roman" w:hAnsi="Times New Roman" w:eastAsia="Times New Roman" w:cs="Times New Roman"/>
          <w:kern w:val="2"/>
          <w:sz w:val="32"/>
          <w:szCs w:val="32"/>
          <w:lang w:eastAsia="zh-CN"/>
        </w:rPr>
      </w:pPr>
    </w:p>
    <w:tbl>
      <w:tblPr>
        <w:tblStyle w:val="3"/>
        <w:tblW w:w="9214" w:type="dxa"/>
        <w:tblInd w:w="-5" w:type="dxa"/>
        <w:tblLayout w:type="fixed"/>
        <w:tblCellMar>
          <w:top w:w="0" w:type="dxa"/>
          <w:left w:w="108" w:type="dxa"/>
          <w:bottom w:w="0" w:type="dxa"/>
          <w:right w:w="108" w:type="dxa"/>
        </w:tblCellMar>
      </w:tblPr>
      <w:tblGrid>
        <w:gridCol w:w="4111"/>
        <w:gridCol w:w="1134"/>
        <w:gridCol w:w="709"/>
        <w:gridCol w:w="992"/>
        <w:gridCol w:w="567"/>
        <w:gridCol w:w="1134"/>
        <w:gridCol w:w="567"/>
      </w:tblGrid>
      <w:tr>
        <w:tblPrEx>
          <w:tblCellMar>
            <w:top w:w="0" w:type="dxa"/>
            <w:left w:w="108" w:type="dxa"/>
            <w:bottom w:w="0" w:type="dxa"/>
            <w:right w:w="108" w:type="dxa"/>
          </w:tblCellMar>
        </w:tblPrEx>
        <w:trPr>
          <w:tblHeader/>
        </w:trPr>
        <w:tc>
          <w:tcPr>
            <w:tcW w:w="4111" w:type="dxa"/>
            <w:vMerge w:val="restart"/>
            <w:tcBorders>
              <w:top w:val="single" w:color="000000" w:sz="4" w:space="0"/>
              <w:left w:val="single" w:color="000000" w:sz="4" w:space="0"/>
              <w:bottom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b/>
                <w:bCs/>
                <w:kern w:val="2"/>
                <w:lang w:eastAsia="zh-CN"/>
              </w:rPr>
              <w:t>Наименование показателей</w:t>
            </w:r>
          </w:p>
        </w:tc>
        <w:tc>
          <w:tcPr>
            <w:tcW w:w="1843" w:type="dxa"/>
            <w:gridSpan w:val="2"/>
            <w:tcBorders>
              <w:top w:val="single" w:color="000000" w:sz="4" w:space="0"/>
              <w:left w:val="single" w:color="000000" w:sz="4" w:space="0"/>
              <w:bottom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b/>
                <w:bCs/>
                <w:kern w:val="2"/>
                <w:lang w:eastAsia="zh-CN"/>
              </w:rPr>
              <w:t>20</w:t>
            </w:r>
            <w:r>
              <w:rPr>
                <w:rFonts w:ascii="Times New Roman" w:hAnsi="Times New Roman" w:eastAsia="Times New Roman" w:cs="Times New Roman"/>
                <w:b/>
                <w:bCs/>
                <w:kern w:val="2"/>
                <w:lang w:val="en-US" w:eastAsia="zh-CN"/>
              </w:rPr>
              <w:t>2</w:t>
            </w:r>
            <w:r>
              <w:rPr>
                <w:rFonts w:ascii="Times New Roman" w:hAnsi="Times New Roman" w:eastAsia="Times New Roman" w:cs="Times New Roman"/>
                <w:b/>
                <w:bCs/>
                <w:kern w:val="2"/>
                <w:lang w:eastAsia="zh-CN"/>
              </w:rPr>
              <w:t>1 год</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b/>
                <w:bCs/>
                <w:kern w:val="2"/>
                <w:lang w:eastAsia="zh-CN"/>
              </w:rPr>
            </w:pPr>
            <w:r>
              <w:rPr>
                <w:rFonts w:ascii="Times New Roman" w:hAnsi="Times New Roman" w:eastAsia="Times New Roman" w:cs="Times New Roman"/>
                <w:b/>
                <w:bCs/>
                <w:kern w:val="2"/>
                <w:lang w:eastAsia="zh-CN"/>
              </w:rPr>
              <w:t>2022 год</w:t>
            </w:r>
          </w:p>
        </w:tc>
        <w:tc>
          <w:tcPr>
            <w:tcW w:w="1701" w:type="dxa"/>
            <w:gridSpan w:val="2"/>
            <w:tcBorders>
              <w:top w:val="single" w:color="000000" w:sz="4" w:space="0"/>
              <w:left w:val="single" w:color="000000" w:sz="4" w:space="0"/>
              <w:bottom w:val="single" w:color="000000" w:sz="4" w:space="0"/>
              <w:right w:val="single" w:color="000000" w:sz="4" w:space="0"/>
            </w:tcBorders>
          </w:tcPr>
          <w:p>
            <w:pPr>
              <w:suppressAutoHyphens/>
              <w:spacing w:after="0" w:line="240" w:lineRule="auto"/>
              <w:jc w:val="center"/>
              <w:textAlignment w:val="baseline"/>
              <w:rPr>
                <w:rFonts w:ascii="Times New Roman" w:hAnsi="Times New Roman" w:eastAsia="Times New Roman" w:cs="Times New Roman"/>
                <w:b/>
                <w:bCs/>
                <w:kern w:val="2"/>
                <w:lang w:eastAsia="zh-CN"/>
              </w:rPr>
            </w:pPr>
            <w:r>
              <w:rPr>
                <w:rFonts w:ascii="Times New Roman" w:hAnsi="Times New Roman" w:eastAsia="Times New Roman" w:cs="Times New Roman"/>
                <w:b/>
                <w:bCs/>
                <w:kern w:val="2"/>
                <w:lang w:eastAsia="zh-CN"/>
              </w:rPr>
              <w:t>2023 год</w:t>
            </w:r>
          </w:p>
        </w:tc>
      </w:tr>
      <w:tr>
        <w:tblPrEx>
          <w:tblCellMar>
            <w:top w:w="0" w:type="dxa"/>
            <w:left w:w="108" w:type="dxa"/>
            <w:bottom w:w="0" w:type="dxa"/>
            <w:right w:w="108" w:type="dxa"/>
          </w:tblCellMar>
        </w:tblPrEx>
        <w:trPr>
          <w:tblHeader/>
        </w:trPr>
        <w:tc>
          <w:tcPr>
            <w:tcW w:w="4111" w:type="dxa"/>
            <w:vMerge w:val="continue"/>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textAlignment w:val="baseline"/>
              <w:rPr>
                <w:rFonts w:ascii="Times New Roman" w:hAnsi="Times New Roman" w:eastAsia="Times New Roman" w:cs="Times New Roman"/>
                <w:b/>
                <w:kern w:val="2"/>
                <w:lang w:eastAsia="zh-CN"/>
              </w:rPr>
            </w:pPr>
          </w:p>
        </w:tc>
        <w:tc>
          <w:tcPr>
            <w:tcW w:w="1134" w:type="dxa"/>
            <w:tcBorders>
              <w:top w:val="single" w:color="000000" w:sz="4" w:space="0"/>
              <w:left w:val="single" w:color="000000" w:sz="4" w:space="0"/>
              <w:bottom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b/>
                <w:bCs/>
                <w:kern w:val="2"/>
                <w:lang w:eastAsia="zh-CN"/>
              </w:rPr>
            </w:pPr>
            <w:r>
              <w:rPr>
                <w:rFonts w:ascii="Times New Roman" w:hAnsi="Times New Roman" w:eastAsia="Times New Roman" w:cs="Times New Roman"/>
                <w:b/>
                <w:bCs/>
                <w:kern w:val="2"/>
                <w:lang w:eastAsia="zh-CN"/>
              </w:rPr>
              <w:t>тыс. рублей</w:t>
            </w:r>
          </w:p>
        </w:tc>
        <w:tc>
          <w:tcPr>
            <w:tcW w:w="709" w:type="dxa"/>
            <w:tcBorders>
              <w:top w:val="single" w:color="000000" w:sz="4" w:space="0"/>
              <w:left w:val="single" w:color="000000" w:sz="4" w:space="0"/>
              <w:bottom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b/>
                <w:bCs/>
                <w:kern w:val="2"/>
                <w:lang w:eastAsia="zh-CN"/>
              </w:rPr>
            </w:pPr>
            <w:r>
              <w:rPr>
                <w:rFonts w:ascii="Times New Roman" w:hAnsi="Times New Roman" w:eastAsia="Times New Roman" w:cs="Times New Roman"/>
                <w:b/>
                <w:bCs/>
                <w:kern w:val="2"/>
                <w:lang w:eastAsia="zh-CN"/>
              </w:rPr>
              <w:t>%</w:t>
            </w:r>
          </w:p>
        </w:tc>
        <w:tc>
          <w:tcPr>
            <w:tcW w:w="992" w:type="dxa"/>
            <w:tcBorders>
              <w:top w:val="single" w:color="000000" w:sz="4" w:space="0"/>
              <w:left w:val="single" w:color="000000" w:sz="4" w:space="0"/>
              <w:bottom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b/>
                <w:bCs/>
                <w:kern w:val="2"/>
                <w:lang w:eastAsia="zh-CN"/>
              </w:rPr>
              <w:t>тыс. рублей</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b/>
                <w:bCs/>
                <w:kern w:val="2"/>
                <w:lang w:eastAsia="zh-CN"/>
              </w:rPr>
              <w:t>%</w:t>
            </w:r>
          </w:p>
        </w:tc>
        <w:tc>
          <w:tcPr>
            <w:tcW w:w="1134" w:type="dxa"/>
            <w:tcBorders>
              <w:top w:val="single" w:color="000000" w:sz="4" w:space="0"/>
              <w:left w:val="single" w:color="000000" w:sz="4" w:space="0"/>
              <w:bottom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b/>
                <w:bCs/>
                <w:kern w:val="2"/>
                <w:lang w:eastAsia="zh-CN"/>
              </w:rPr>
              <w:t>тыс. рублей</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b/>
                <w:bCs/>
                <w:kern w:val="2"/>
                <w:lang w:eastAsia="zh-CN"/>
              </w:rPr>
              <w:t>%</w:t>
            </w:r>
          </w:p>
        </w:tc>
      </w:tr>
      <w:tr>
        <w:tblPrEx>
          <w:tblCellMar>
            <w:top w:w="0" w:type="dxa"/>
            <w:left w:w="108" w:type="dxa"/>
            <w:bottom w:w="0" w:type="dxa"/>
            <w:right w:w="108" w:type="dxa"/>
          </w:tblCellMar>
        </w:tblPrEx>
        <w:tc>
          <w:tcPr>
            <w:tcW w:w="4111"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kern w:val="2"/>
                <w:lang w:eastAsia="zh-CN"/>
              </w:rPr>
            </w:pPr>
            <w:r>
              <w:rPr>
                <w:rFonts w:ascii="Times New Roman" w:hAnsi="Times New Roman" w:eastAsia="Times New Roman" w:cs="Times New Roman"/>
                <w:bCs/>
                <w:kern w:val="2"/>
                <w:lang w:eastAsia="zh-CN"/>
              </w:rPr>
              <w:t>Предоставленные налоговые расходы в соответствии с муниципальными правовыми актами представительного органа Белоярского района по налогам и сборам, всего:</w:t>
            </w:r>
          </w:p>
        </w:tc>
        <w:tc>
          <w:tcPr>
            <w:tcW w:w="113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6 150,0</w:t>
            </w:r>
          </w:p>
        </w:tc>
        <w:tc>
          <w:tcPr>
            <w:tcW w:w="709"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100</w:t>
            </w:r>
          </w:p>
        </w:tc>
        <w:tc>
          <w:tcPr>
            <w:tcW w:w="992"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56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r>
      <w:tr>
        <w:tblPrEx>
          <w:tblCellMar>
            <w:top w:w="0" w:type="dxa"/>
            <w:left w:w="108" w:type="dxa"/>
            <w:bottom w:w="0" w:type="dxa"/>
            <w:right w:w="108" w:type="dxa"/>
          </w:tblCellMar>
        </w:tblPrEx>
        <w:tc>
          <w:tcPr>
            <w:tcW w:w="4111"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kern w:val="2"/>
                <w:lang w:eastAsia="zh-CN"/>
              </w:rPr>
            </w:pPr>
            <w:r>
              <w:rPr>
                <w:rFonts w:ascii="Times New Roman" w:hAnsi="Times New Roman" w:eastAsia="Times New Roman" w:cs="Times New Roman"/>
                <w:bCs/>
                <w:kern w:val="2"/>
                <w:lang w:eastAsia="zh-CN"/>
              </w:rPr>
              <w:t>в том числе:</w:t>
            </w:r>
          </w:p>
        </w:tc>
        <w:tc>
          <w:tcPr>
            <w:tcW w:w="113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65,0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х</w:t>
            </w:r>
          </w:p>
        </w:tc>
        <w:tc>
          <w:tcPr>
            <w:tcW w:w="992"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х</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56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х</w:t>
            </w:r>
          </w:p>
        </w:tc>
      </w:tr>
      <w:tr>
        <w:tblPrEx>
          <w:tblCellMar>
            <w:top w:w="0" w:type="dxa"/>
            <w:left w:w="108" w:type="dxa"/>
            <w:bottom w:w="0" w:type="dxa"/>
            <w:right w:w="108" w:type="dxa"/>
          </w:tblCellMar>
        </w:tblPrEx>
        <w:tc>
          <w:tcPr>
            <w:tcW w:w="4111"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kern w:val="2"/>
                <w:lang w:eastAsia="zh-CN"/>
              </w:rPr>
            </w:pPr>
            <w:r>
              <w:rPr>
                <w:rFonts w:ascii="Times New Roman" w:hAnsi="Times New Roman" w:eastAsia="Times New Roman" w:cs="Times New Roman"/>
                <w:bCs/>
                <w:kern w:val="2"/>
                <w:lang w:eastAsia="zh-CN"/>
              </w:rPr>
              <w:t>Стимулирующие налоговые расходы</w:t>
            </w:r>
          </w:p>
        </w:tc>
        <w:tc>
          <w:tcPr>
            <w:tcW w:w="113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6 150,0</w:t>
            </w:r>
          </w:p>
        </w:tc>
        <w:tc>
          <w:tcPr>
            <w:tcW w:w="709"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100</w:t>
            </w:r>
          </w:p>
        </w:tc>
        <w:tc>
          <w:tcPr>
            <w:tcW w:w="992"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56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w:t>
            </w:r>
          </w:p>
        </w:tc>
      </w:tr>
      <w:tr>
        <w:tblPrEx>
          <w:tblCellMar>
            <w:top w:w="0" w:type="dxa"/>
            <w:left w:w="108" w:type="dxa"/>
            <w:bottom w:w="0" w:type="dxa"/>
            <w:right w:w="108" w:type="dxa"/>
          </w:tblCellMar>
        </w:tblPrEx>
        <w:tc>
          <w:tcPr>
            <w:tcW w:w="4111"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kern w:val="2"/>
                <w:lang w:eastAsia="zh-CN"/>
              </w:rPr>
            </w:pPr>
            <w:r>
              <w:rPr>
                <w:rFonts w:ascii="Times New Roman" w:hAnsi="Times New Roman" w:eastAsia="Times New Roman" w:cs="Times New Roman"/>
                <w:bCs/>
                <w:kern w:val="2"/>
                <w:lang w:eastAsia="zh-CN"/>
              </w:rPr>
              <w:t>темп роста (снижения) к предыдущему году, %</w:t>
            </w:r>
          </w:p>
        </w:tc>
        <w:tc>
          <w:tcPr>
            <w:tcW w:w="113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65,0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х</w:t>
            </w:r>
          </w:p>
        </w:tc>
        <w:tc>
          <w:tcPr>
            <w:tcW w:w="992"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х</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56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х</w:t>
            </w:r>
          </w:p>
        </w:tc>
      </w:tr>
      <w:tr>
        <w:tblPrEx>
          <w:tblCellMar>
            <w:top w:w="0" w:type="dxa"/>
            <w:left w:w="108" w:type="dxa"/>
            <w:bottom w:w="0" w:type="dxa"/>
            <w:right w:w="108" w:type="dxa"/>
          </w:tblCellMar>
        </w:tblPrEx>
        <w:tc>
          <w:tcPr>
            <w:tcW w:w="4111"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bCs/>
                <w:kern w:val="2"/>
                <w:lang w:eastAsia="zh-CN"/>
              </w:rPr>
            </w:pPr>
            <w:r>
              <w:rPr>
                <w:rFonts w:ascii="Times New Roman" w:hAnsi="Times New Roman" w:eastAsia="Times New Roman" w:cs="Times New Roman"/>
                <w:bCs/>
                <w:kern w:val="2"/>
                <w:lang w:eastAsia="zh-CN"/>
              </w:rPr>
              <w:t>Технические налоговые расходы</w:t>
            </w:r>
          </w:p>
        </w:tc>
        <w:tc>
          <w:tcPr>
            <w:tcW w:w="113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709"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х</w:t>
            </w:r>
          </w:p>
        </w:tc>
        <w:tc>
          <w:tcPr>
            <w:tcW w:w="992"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х</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56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х</w:t>
            </w:r>
          </w:p>
        </w:tc>
      </w:tr>
      <w:tr>
        <w:tblPrEx>
          <w:tblCellMar>
            <w:top w:w="0" w:type="dxa"/>
            <w:left w:w="108" w:type="dxa"/>
            <w:bottom w:w="0" w:type="dxa"/>
            <w:right w:w="108" w:type="dxa"/>
          </w:tblCellMar>
        </w:tblPrEx>
        <w:tc>
          <w:tcPr>
            <w:tcW w:w="4111"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bCs/>
                <w:kern w:val="2"/>
                <w:lang w:eastAsia="zh-CN"/>
              </w:rPr>
            </w:pPr>
            <w:r>
              <w:rPr>
                <w:rFonts w:ascii="Times New Roman" w:hAnsi="Times New Roman" w:eastAsia="Times New Roman" w:cs="Times New Roman"/>
                <w:bCs/>
                <w:kern w:val="2"/>
                <w:lang w:eastAsia="zh-CN"/>
              </w:rPr>
              <w:t>темп роста (снижения) к предыдущему году, %</w:t>
            </w:r>
          </w:p>
        </w:tc>
        <w:tc>
          <w:tcPr>
            <w:tcW w:w="113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709"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х</w:t>
            </w:r>
          </w:p>
        </w:tc>
        <w:tc>
          <w:tcPr>
            <w:tcW w:w="992"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х</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56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х</w:t>
            </w:r>
          </w:p>
        </w:tc>
      </w:tr>
      <w:tr>
        <w:tblPrEx>
          <w:tblCellMar>
            <w:top w:w="0" w:type="dxa"/>
            <w:left w:w="108" w:type="dxa"/>
            <w:bottom w:w="0" w:type="dxa"/>
            <w:right w:w="108" w:type="dxa"/>
          </w:tblCellMar>
        </w:tblPrEx>
        <w:tc>
          <w:tcPr>
            <w:tcW w:w="4111"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kern w:val="2"/>
                <w:lang w:eastAsia="zh-CN"/>
              </w:rPr>
            </w:pPr>
            <w:r>
              <w:rPr>
                <w:rFonts w:ascii="Times New Roman" w:hAnsi="Times New Roman" w:eastAsia="Times New Roman" w:cs="Times New Roman"/>
                <w:bCs/>
                <w:kern w:val="2"/>
                <w:lang w:eastAsia="zh-CN"/>
              </w:rPr>
              <w:t>Социальные налоговые расходы</w:t>
            </w:r>
          </w:p>
        </w:tc>
        <w:tc>
          <w:tcPr>
            <w:tcW w:w="113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709"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х</w:t>
            </w:r>
          </w:p>
        </w:tc>
        <w:tc>
          <w:tcPr>
            <w:tcW w:w="992"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х</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56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х</w:t>
            </w:r>
          </w:p>
        </w:tc>
      </w:tr>
      <w:tr>
        <w:tblPrEx>
          <w:tblCellMar>
            <w:top w:w="0" w:type="dxa"/>
            <w:left w:w="108" w:type="dxa"/>
            <w:bottom w:w="0" w:type="dxa"/>
            <w:right w:w="108" w:type="dxa"/>
          </w:tblCellMar>
        </w:tblPrEx>
        <w:tc>
          <w:tcPr>
            <w:tcW w:w="4111"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kern w:val="2"/>
                <w:lang w:eastAsia="zh-CN"/>
              </w:rPr>
            </w:pPr>
            <w:r>
              <w:rPr>
                <w:rFonts w:ascii="Times New Roman" w:hAnsi="Times New Roman" w:eastAsia="Times New Roman" w:cs="Times New Roman"/>
                <w:bCs/>
                <w:kern w:val="2"/>
                <w:lang w:eastAsia="zh-CN"/>
              </w:rPr>
              <w:t>темп роста (снижения) к предыдущему году, %</w:t>
            </w:r>
          </w:p>
        </w:tc>
        <w:tc>
          <w:tcPr>
            <w:tcW w:w="113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709"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х</w:t>
            </w:r>
          </w:p>
        </w:tc>
        <w:tc>
          <w:tcPr>
            <w:tcW w:w="992"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х</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0,0</w:t>
            </w:r>
          </w:p>
        </w:tc>
        <w:tc>
          <w:tcPr>
            <w:tcW w:w="56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lang w:eastAsia="zh-CN"/>
              </w:rPr>
            </w:pPr>
            <w:r>
              <w:rPr>
                <w:rFonts w:ascii="Times New Roman" w:hAnsi="Times New Roman" w:eastAsia="Times New Roman" w:cs="Times New Roman"/>
                <w:kern w:val="2"/>
                <w:lang w:eastAsia="zh-CN"/>
              </w:rPr>
              <w:t>х</w:t>
            </w:r>
          </w:p>
        </w:tc>
      </w:tr>
    </w:tbl>
    <w:p>
      <w:pPr>
        <w:widowControl w:val="0"/>
        <w:tabs>
          <w:tab w:val="left" w:pos="709"/>
          <w:tab w:val="left" w:pos="1890"/>
        </w:tabs>
        <w:suppressAutoHyphens/>
        <w:spacing w:after="0" w:line="240" w:lineRule="auto"/>
        <w:ind w:firstLine="709"/>
        <w:jc w:val="both"/>
        <w:textAlignment w:val="baseline"/>
        <w:rPr>
          <w:rFonts w:ascii="Times New Roman" w:hAnsi="Times New Roman" w:eastAsia="Times New Roman" w:cs="Times New Roman"/>
          <w:kern w:val="2"/>
          <w:lang w:eastAsia="zh-CN"/>
        </w:rPr>
      </w:pPr>
    </w:p>
    <w:p>
      <w:pPr>
        <w:suppressAutoHyphens/>
        <w:spacing w:after="0" w:line="240" w:lineRule="auto"/>
        <w:ind w:firstLine="851"/>
        <w:jc w:val="both"/>
        <w:rPr>
          <w:rFonts w:ascii="Times New Roman" w:hAnsi="Times New Roman" w:eastAsia="Calibri" w:cs="Times New Roman"/>
          <w:sz w:val="24"/>
          <w:szCs w:val="24"/>
          <w:lang w:eastAsia="zh-CN"/>
        </w:rPr>
      </w:pPr>
      <w:r>
        <w:rPr>
          <w:rFonts w:ascii="Times New Roman" w:hAnsi="Times New Roman" w:eastAsia="Times New Roman" w:cs="Times New Roman"/>
          <w:kern w:val="2"/>
          <w:sz w:val="24"/>
          <w:szCs w:val="24"/>
          <w:lang w:eastAsia="zh-CN"/>
        </w:rPr>
        <w:t>Весь объем налоговых расходов в 2021 - 2023 году приходится на преференции, направленные на стимулирование экономической активности субъектов предпринимательской деятельности. В 2023 году налоговые льготы не предоставлялись в связи с отсутствием заявителей на льготы по местным налогам.</w:t>
      </w:r>
    </w:p>
    <w:p>
      <w:pPr>
        <w:widowControl w:val="0"/>
        <w:tabs>
          <w:tab w:val="left" w:pos="709"/>
          <w:tab w:val="left" w:pos="1890"/>
        </w:tabs>
        <w:suppressAutoHyphens/>
        <w:spacing w:after="0" w:line="240" w:lineRule="auto"/>
        <w:ind w:firstLine="709"/>
        <w:jc w:val="both"/>
        <w:textAlignment w:val="baseline"/>
        <w:rPr>
          <w:rFonts w:ascii="Times New Roman" w:hAnsi="Times New Roman" w:eastAsia="Times New Roman" w:cs="Times New Roman"/>
          <w:kern w:val="2"/>
          <w:sz w:val="28"/>
          <w:szCs w:val="28"/>
          <w:lang w:eastAsia="zh-CN"/>
        </w:rPr>
      </w:pPr>
    </w:p>
    <w:p>
      <w:pPr>
        <w:widowControl w:val="0"/>
        <w:tabs>
          <w:tab w:val="left" w:pos="426"/>
        </w:tabs>
        <w:suppressAutoHyphens/>
        <w:autoSpaceDE w:val="0"/>
        <w:spacing w:after="0" w:line="240" w:lineRule="auto"/>
        <w:contextualSpacing/>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Calibri" w:cs="Times New Roman"/>
          <w:b/>
          <w:bCs/>
          <w:kern w:val="2"/>
          <w:sz w:val="24"/>
          <w:szCs w:val="24"/>
        </w:rPr>
        <w:t>1. Эффективность налоговых расходов по земельному налогу</w:t>
      </w:r>
    </w:p>
    <w:p>
      <w:pPr>
        <w:widowControl w:val="0"/>
        <w:tabs>
          <w:tab w:val="left" w:pos="426"/>
        </w:tabs>
        <w:suppressAutoHyphens/>
        <w:autoSpaceDE w:val="0"/>
        <w:spacing w:after="0" w:line="240" w:lineRule="auto"/>
        <w:contextualSpacing/>
        <w:jc w:val="center"/>
        <w:textAlignment w:val="baseline"/>
        <w:rPr>
          <w:rFonts w:ascii="Times New Roman" w:hAnsi="Times New Roman" w:eastAsia="Calibri" w:cs="Times New Roman"/>
          <w:b/>
          <w:bCs/>
          <w:kern w:val="2"/>
          <w:sz w:val="28"/>
          <w:szCs w:val="28"/>
        </w:rPr>
      </w:pPr>
    </w:p>
    <w:p>
      <w:pPr>
        <w:widowControl w:val="0"/>
        <w:tabs>
          <w:tab w:val="left" w:pos="426"/>
        </w:tabs>
        <w:suppressAutoHyphens/>
        <w:autoSpaceDE w:val="0"/>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В соответствии с решением Думы Белоярского района от 22.10.2010 года № 84 «О земельном налоге на межселенной территории Белоярского района» налоговые расходы представлены в виде налоговых льгот для отдельных категорий физических и юридических лиц.</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Оценка эффективности проведена кураторами налоговых расходов по 6 видам налоговым расходам (2 стимулирующим, 2 техническим и 2 социальным), распределенным по 4 муниципальным программам в соответствии с показателями достижения целей и одному виду непрограмных налоговых расходов, отвечающему целям социально-экономического развития Белоярского района (таблица 1 приложения 1 к аналитической справке).</w:t>
      </w:r>
    </w:p>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p>
    <w:p>
      <w:pPr>
        <w:widowControl w:val="0"/>
        <w:numPr>
          <w:ilvl w:val="0"/>
          <w:numId w:val="1"/>
        </w:numPr>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
          <w:i/>
          <w:kern w:val="2"/>
          <w:sz w:val="24"/>
          <w:szCs w:val="24"/>
          <w:lang w:eastAsia="zh-CN"/>
        </w:rPr>
        <w:t>В муниципальную программу Белоярского района «Управление муниципальными финансами в Белоярском районе</w:t>
      </w:r>
      <w:r>
        <w:rPr>
          <w:rFonts w:ascii="Times New Roman" w:hAnsi="Times New Roman" w:eastAsia="Times New Roman" w:cs="Times New Roman"/>
          <w:i/>
          <w:kern w:val="2"/>
          <w:sz w:val="24"/>
          <w:szCs w:val="24"/>
          <w:lang w:eastAsia="zh-CN"/>
        </w:rPr>
        <w:t>»,</w:t>
      </w:r>
      <w:r>
        <w:rPr>
          <w:rFonts w:ascii="Times New Roman" w:hAnsi="Times New Roman" w:eastAsia="Times New Roman" w:cs="Times New Roman"/>
          <w:kern w:val="2"/>
          <w:sz w:val="24"/>
          <w:szCs w:val="24"/>
          <w:lang w:eastAsia="zh-CN"/>
        </w:rPr>
        <w:t xml:space="preserve"> ответственным исполнителем которой является Комитет по финансам и налоговой политике администрации Белоярского района включены 2 технических налоговых расхода, которые соответствуют цели муниципальной программы: «Повышение качества управления муниципальными финансами, обеспечение финансовой устойчивости и долгосрочной сбалансированности бюджетной системы Белоярского района», в том числе:</w:t>
      </w:r>
    </w:p>
    <w:p>
      <w:pPr>
        <w:widowControl w:val="0"/>
        <w:tabs>
          <w:tab w:val="left" w:pos="1276"/>
        </w:tabs>
        <w:suppressAutoHyphens/>
        <w:spacing w:after="0" w:line="240" w:lineRule="auto"/>
        <w:ind w:firstLine="660" w:firstLineChars="275"/>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освобождение от уплаты земельного налога органов местного самоуправления;</w:t>
      </w:r>
    </w:p>
    <w:p>
      <w:pPr>
        <w:widowControl w:val="0"/>
        <w:tabs>
          <w:tab w:val="left" w:pos="1276"/>
        </w:tabs>
        <w:suppressAutoHyphens/>
        <w:spacing w:after="0" w:line="240" w:lineRule="auto"/>
        <w:ind w:firstLine="660" w:firstLineChars="275"/>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освобождение от уплаты земельного налога муниципальных учреждений Белоярского района.</w:t>
      </w:r>
    </w:p>
    <w:p>
      <w:pPr>
        <w:autoSpaceDE w:val="0"/>
        <w:autoSpaceDN w:val="0"/>
        <w:adjustRightInd w:val="0"/>
        <w:spacing w:after="0" w:line="240" w:lineRule="auto"/>
        <w:ind w:firstLine="660"/>
        <w:jc w:val="both"/>
        <w:rPr>
          <w:rFonts w:ascii="Times New Roman" w:hAnsi="Times New Roman" w:eastAsia="SimSun" w:cs="Times New Roman"/>
          <w:sz w:val="24"/>
          <w:szCs w:val="24"/>
          <w:lang w:eastAsia="ru-RU"/>
        </w:rPr>
      </w:pPr>
      <w:r>
        <w:rPr>
          <w:rFonts w:ascii="Times New Roman" w:hAnsi="Times New Roman" w:eastAsia="Times New Roman" w:cs="Times New Roman"/>
          <w:kern w:val="2"/>
          <w:sz w:val="24"/>
          <w:szCs w:val="24"/>
          <w:lang w:eastAsia="zh-CN"/>
        </w:rPr>
        <w:t xml:space="preserve">В 2023 году льготой по земельному налогу на межселенной территории Белоярского района воспользовался орган администрации Белоярского района – Комитет муниципальной собственности администрации Белоярского района, </w:t>
      </w:r>
      <w:r>
        <w:rPr>
          <w:rFonts w:ascii="Times New Roman" w:hAnsi="Times New Roman" w:eastAsia="SimSun" w:cs="Times New Roman"/>
          <w:sz w:val="24"/>
          <w:szCs w:val="24"/>
          <w:lang w:eastAsia="ru-RU"/>
        </w:rPr>
        <w:t xml:space="preserve">созданный в целях обеспечения исполнения полномочий администрации Белоярского района в сфере имущественных и земельных отношений, для решения вопросов местного значения, осуществления отдельных государственных полномочий. </w:t>
      </w:r>
    </w:p>
    <w:p>
      <w:pPr>
        <w:autoSpaceDE w:val="0"/>
        <w:autoSpaceDN w:val="0"/>
        <w:adjustRightInd w:val="0"/>
        <w:spacing w:after="0" w:line="240" w:lineRule="auto"/>
        <w:ind w:firstLine="660"/>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У му</w:t>
      </w:r>
      <w:r>
        <w:rPr>
          <w:rFonts w:ascii="Times New Roman" w:hAnsi="Times New Roman" w:eastAsia="Times New Roman" w:cs="Times New Roman"/>
          <w:kern w:val="2"/>
          <w:sz w:val="24"/>
          <w:szCs w:val="24"/>
          <w:lang w:eastAsia="zh-CN"/>
        </w:rPr>
        <w:t xml:space="preserve">ниципальных учреждений Белоярского района не возникли условия для использования соответствующей льготы.                       </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Куратором налоговых расходов (Комитетом по финансам и налоговой политике администрации Белоярского района) предложено сохранить льготы, так как они направлены на исключение встречных финансовых потоков, оптимизацию бюджетных расходов.</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
          <w:i/>
          <w:kern w:val="2"/>
          <w:sz w:val="24"/>
          <w:szCs w:val="24"/>
          <w:lang w:eastAsia="zh-CN"/>
        </w:rPr>
        <w:t>2.</w:t>
      </w:r>
      <w:r>
        <w:rPr>
          <w:rFonts w:ascii="Times New Roman" w:hAnsi="Times New Roman" w:eastAsia="Times New Roman" w:cs="Times New Roman"/>
          <w:i/>
          <w:kern w:val="2"/>
          <w:sz w:val="24"/>
          <w:szCs w:val="24"/>
          <w:lang w:eastAsia="zh-CN"/>
        </w:rPr>
        <w:t xml:space="preserve"> </w:t>
      </w:r>
      <w:r>
        <w:rPr>
          <w:rFonts w:ascii="Times New Roman" w:hAnsi="Times New Roman" w:eastAsia="Times New Roman" w:cs="Times New Roman"/>
          <w:b/>
          <w:i/>
          <w:kern w:val="2"/>
          <w:sz w:val="24"/>
          <w:szCs w:val="24"/>
          <w:lang w:eastAsia="zh-CN"/>
        </w:rPr>
        <w:t>В муниципальную программу Белоярского района «Развитие социальной политики на территории Белоярского района»,</w:t>
      </w:r>
      <w:r>
        <w:rPr>
          <w:rFonts w:ascii="Times New Roman" w:hAnsi="Times New Roman" w:eastAsia="Times New Roman" w:cs="Times New Roman"/>
          <w:i/>
          <w:kern w:val="2"/>
          <w:sz w:val="24"/>
          <w:szCs w:val="24"/>
          <w:lang w:eastAsia="zh-CN"/>
        </w:rPr>
        <w:t xml:space="preserve"> </w:t>
      </w:r>
      <w:r>
        <w:rPr>
          <w:rFonts w:ascii="Times New Roman" w:hAnsi="Times New Roman" w:eastAsia="Times New Roman" w:cs="Times New Roman"/>
          <w:kern w:val="2"/>
          <w:sz w:val="24"/>
          <w:szCs w:val="24"/>
          <w:lang w:eastAsia="zh-CN"/>
        </w:rPr>
        <w:t xml:space="preserve">ответственным исполнителем которой является Управление по охране труда и социальной политики администрации Белоярского района включены 2 социальных налоговых расхода, которые соответствуют целям муниципальной программы, в том числе: </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«Социальная поддержка отдельных категорий граждан, повышение качества жизни жителей Белоярского района»;</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«Создание условий для развития институтов гражданского общества и реализация гражданских инициатив».</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Налоговые льготы не были востребованы социально ориентированными некоммерческими организациями, ветеранами и инвалидами Великой Отечественной войны более чем за 5-летний период. Учитывая необходимость развития некоммерческого сектора экономики, предоставляющего, в том числе услуги социального характера, институтов гражданского общества, использования потенциала социально ориентированных некоммерческих организаций, поддержку социально-незащищенных слоев населения, куратором налоговых расходов (Управлением по охране труда и социальной политики администрации Белоярского района) предлагается сохранить данные налоговые расходы.</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
          <w:i/>
          <w:kern w:val="2"/>
          <w:sz w:val="24"/>
          <w:szCs w:val="24"/>
          <w:lang w:eastAsia="zh-CN"/>
        </w:rPr>
        <w:t>3. В муниципальную программу Белоярского района «Обеспечение доступным и комфортным жильем жителей Белоярского района»</w:t>
      </w:r>
      <w:r>
        <w:rPr>
          <w:rFonts w:ascii="Times New Roman" w:hAnsi="Times New Roman" w:eastAsia="Times New Roman" w:cs="Times New Roman"/>
          <w:i/>
          <w:kern w:val="2"/>
          <w:sz w:val="24"/>
          <w:szCs w:val="24"/>
          <w:lang w:eastAsia="zh-CN"/>
        </w:rPr>
        <w:t xml:space="preserve">, </w:t>
      </w:r>
      <w:r>
        <w:rPr>
          <w:rFonts w:ascii="Times New Roman" w:hAnsi="Times New Roman" w:eastAsia="Times New Roman" w:cs="Times New Roman"/>
          <w:kern w:val="2"/>
          <w:sz w:val="24"/>
          <w:szCs w:val="24"/>
          <w:lang w:eastAsia="zh-CN"/>
        </w:rPr>
        <w:t>ответственным исполнителем которой является Управление по архитектуре и градостроительству администрации Белоярского района, включен 1 вид налогового расхода стимулирующего характера «Освобождение от уплаты налога организаций и индивидуальных предпринимателей, в отношении земельных участков, используемых для реализации инвестиционных проектов на межселенной территории Белоярского района, включенных в Реестр приоритетных инвестиционных проектов Ханты-Мансийского автономного округа - Югры, на плановый срок реализации инвестиционного проекта».</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Данный налоговый расход соответствует цели муниципальной программы: «Создание на территории Белоярского района благоприятного инвестиционного климата, развития конкуренции». Вступил в силу с 1 января 2021 года, в отчетном году не был востребован в виду отсутствия заявителей. С целью создания благоприятного инвестиционного климата на территории Белоярского района куратором предлагается сохранить налоговый расход. </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
          <w:i/>
          <w:kern w:val="2"/>
          <w:sz w:val="24"/>
          <w:szCs w:val="24"/>
          <w:lang w:eastAsia="zh-CN"/>
        </w:rPr>
        <w:t>4. В муниципальную программу Белоярского района «Развитие агропромышленного комплекса»</w:t>
      </w:r>
      <w:r>
        <w:rPr>
          <w:rFonts w:ascii="Times New Roman" w:hAnsi="Times New Roman" w:eastAsia="Times New Roman" w:cs="Times New Roman"/>
          <w:i/>
          <w:kern w:val="2"/>
          <w:sz w:val="24"/>
          <w:szCs w:val="24"/>
          <w:lang w:eastAsia="zh-CN"/>
        </w:rPr>
        <w:t xml:space="preserve">, </w:t>
      </w:r>
      <w:r>
        <w:rPr>
          <w:rFonts w:ascii="Times New Roman" w:hAnsi="Times New Roman" w:eastAsia="Times New Roman" w:cs="Times New Roman"/>
          <w:kern w:val="2"/>
          <w:sz w:val="24"/>
          <w:szCs w:val="24"/>
          <w:lang w:eastAsia="zh-CN"/>
        </w:rPr>
        <w:t>ответственным исполнителем которой является Управление природопользования, сельского хозяйства и развития предпринимательства администрации Белоярского района, включен 1 вид налогового расхода стимулирующего характера «Установление пониженной ставки по налогу с целью поддержки сельскохозяйственных производителей».</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Данный налоговый расход соответствует цели муниципальной программы: «Оказание поддержки сельскохозяйственным производителям».</w:t>
      </w:r>
      <w:r>
        <w:t xml:space="preserve"> </w:t>
      </w:r>
      <w:r>
        <w:rPr>
          <w:rFonts w:ascii="Times New Roman" w:hAnsi="Times New Roman" w:eastAsia="Times New Roman" w:cs="Times New Roman"/>
          <w:kern w:val="2"/>
          <w:sz w:val="24"/>
          <w:szCs w:val="24"/>
          <w:lang w:eastAsia="zh-CN"/>
        </w:rPr>
        <w:t>На протяжении 5-ти лет налоговый расход не был востребован плательщиками налога. Учитывая, что представленный налоговый расход является дополнительным механизмом государственной (муниципальной) поддержки организаций, занимающихся выращиванием сельскохозяйственных культур на территории Белоярского района, куратором налогового расхода (Управлением природопользования, сельского хозяйства и развития предпринимательства администрации Белоярского района) предлагается сохранить данную налоговую льготу.</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p>
    <w:p>
      <w:pPr>
        <w:widowControl w:val="0"/>
        <w:numPr>
          <w:ilvl w:val="0"/>
          <w:numId w:val="2"/>
        </w:numPr>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С 1 января 2022 года в Перечень включен новый налоговый расход по земельному налогу стимулирующего характера </w:t>
      </w:r>
      <w:r>
        <w:rPr>
          <w:rFonts w:ascii="Times New Roman" w:hAnsi="Times New Roman" w:eastAsia="Times New Roman" w:cs="Times New Roman"/>
          <w:i/>
          <w:iCs/>
          <w:kern w:val="2"/>
          <w:sz w:val="24"/>
          <w:szCs w:val="24"/>
          <w:lang w:eastAsia="zh-CN"/>
        </w:rPr>
        <w:t>«</w:t>
      </w:r>
      <w:r>
        <w:rPr>
          <w:rFonts w:ascii="Times New Roman" w:hAnsi="Times New Roman" w:eastAsia="Times New Roman"/>
          <w:i/>
          <w:iCs/>
          <w:kern w:val="2"/>
          <w:sz w:val="24"/>
          <w:szCs w:val="24"/>
          <w:lang w:eastAsia="zh-CN"/>
        </w:rPr>
        <w:t>Установление пониженной ставки для владельцев земельных участков, предназначенных для обеспечения деятельности организаций и (или) объектов связи, радиовещания, телевидения, информатики».</w:t>
      </w:r>
    </w:p>
    <w:p>
      <w:pPr>
        <w:widowControl w:val="0"/>
        <w:tabs>
          <w:tab w:val="left" w:pos="1276"/>
        </w:tabs>
        <w:suppressAutoHyphens/>
        <w:spacing w:after="0" w:line="240" w:lineRule="auto"/>
        <w:ind w:firstLine="660" w:firstLineChars="275"/>
        <w:contextualSpacing/>
        <w:jc w:val="both"/>
        <w:textAlignment w:val="baseline"/>
        <w:rPr>
          <w:rFonts w:ascii="Times New Roman" w:hAnsi="Times New Roman" w:eastAsia="Times New Roman"/>
          <w:kern w:val="2"/>
          <w:sz w:val="24"/>
          <w:szCs w:val="24"/>
          <w:lang w:eastAsia="zh-CN"/>
        </w:rPr>
      </w:pPr>
      <w:r>
        <w:rPr>
          <w:rFonts w:ascii="Times New Roman" w:hAnsi="Times New Roman" w:eastAsia="Times New Roman" w:cs="Times New Roman"/>
          <w:kern w:val="2"/>
          <w:sz w:val="24"/>
          <w:szCs w:val="24"/>
          <w:lang w:eastAsia="zh-CN"/>
        </w:rPr>
        <w:t xml:space="preserve">Данный налоговый расход установлен на территории района в соответствии с </w:t>
      </w:r>
      <w:r>
        <w:rPr>
          <w:rFonts w:ascii="Times New Roman" w:hAnsi="Times New Roman" w:eastAsia="Times New Roman"/>
          <w:kern w:val="2"/>
          <w:sz w:val="24"/>
          <w:szCs w:val="24"/>
          <w:lang w:eastAsia="zh-CN"/>
        </w:rPr>
        <w:t>Указом Президента Российской Федерации от 2 марта 2022 года № 83 «О мерах по обеспечению ускоренного развития отрасли информационных технологий в Российской Федерации» с целью обеспечения ускоренного развития отрасли информационных технологий в Российской Федерации. Налоговая льгота с</w:t>
      </w:r>
      <w:r>
        <w:rPr>
          <w:rFonts w:ascii="Times New Roman" w:hAnsi="Times New Roman" w:eastAsia="Times New Roman" w:cs="Times New Roman"/>
          <w:kern w:val="2"/>
          <w:sz w:val="24"/>
          <w:szCs w:val="24"/>
          <w:lang w:eastAsia="zh-CN"/>
        </w:rPr>
        <w:t xml:space="preserve">оответствует одной из целей </w:t>
      </w:r>
      <w:r>
        <w:rPr>
          <w:rFonts w:ascii="Times New Roman" w:hAnsi="Times New Roman" w:eastAsia="Times New Roman"/>
          <w:kern w:val="2"/>
          <w:sz w:val="24"/>
          <w:szCs w:val="24"/>
          <w:lang w:eastAsia="zh-CN"/>
        </w:rPr>
        <w:t xml:space="preserve">Стратегии социально-экономического развития Белоярского района до 2030 года - «Внедрение информационно - коммуникационных технологий». Выявлено 4 потенциальных получателя вышеуказанной налоговой льготы.  Куратором налогового расхода (Отделом по информационным ресурсам и защите информации администрации Белоярского района) налоговый расход предлагается сохранить.  </w:t>
      </w:r>
    </w:p>
    <w:p>
      <w:pPr>
        <w:widowControl w:val="0"/>
        <w:tabs>
          <w:tab w:val="left" w:pos="1276"/>
        </w:tabs>
        <w:suppressAutoHyphens/>
        <w:spacing w:after="0" w:line="240" w:lineRule="auto"/>
        <w:ind w:firstLine="660" w:firstLineChars="275"/>
        <w:contextualSpacing/>
        <w:jc w:val="both"/>
        <w:textAlignment w:val="baseline"/>
        <w:rPr>
          <w:rFonts w:ascii="Times New Roman" w:hAnsi="Times New Roman" w:eastAsia="Times New Roman"/>
          <w:kern w:val="2"/>
          <w:sz w:val="24"/>
          <w:szCs w:val="24"/>
          <w:lang w:eastAsia="zh-CN"/>
        </w:rPr>
      </w:pPr>
    </w:p>
    <w:p>
      <w:pPr>
        <w:spacing w:after="0" w:line="240" w:lineRule="auto"/>
        <w:ind w:firstLine="660"/>
        <w:jc w:val="both"/>
        <w:rPr>
          <w:rFonts w:ascii="Times New Roman" w:hAnsi="Times New Roman" w:cs="Times New Roman"/>
          <w:sz w:val="24"/>
          <w:szCs w:val="24"/>
          <w:lang w:eastAsia="zh-CN"/>
        </w:rPr>
      </w:pPr>
      <w:r>
        <w:rPr>
          <w:rFonts w:ascii="Times New Roman" w:hAnsi="Times New Roman" w:cs="Times New Roman"/>
          <w:sz w:val="24"/>
          <w:szCs w:val="24"/>
          <w:lang w:eastAsia="zh-CN"/>
        </w:rPr>
        <w:t>6. В связи с отнесением Белоярского района к Арктической зоне Российской Федерация для поддержки инвестиционных проектов, реализуемых резидентами Арктической зоны Российской Федерации, решением представительного органа будет принято решение об освобождении от налогообложения  резидентов Арктической зоны Российской Федерации, определенных в соответствии с пунктом 2 части 1 статьи 2 Федерального закона от 13 июля 2020 года № 193-ФЗ «О государственной поддержке предпринимательской деятельности в Арктической зоне Российской Федерации», в отношении земельных участков, непосредственно используемых для реализации инвестиционных проектов с момента заключения соглашения об осуществлении инвестиционной деятельности до прекращения или приостановления такой деятельности.</w:t>
      </w:r>
    </w:p>
    <w:p>
      <w:pPr>
        <w:widowControl w:val="0"/>
        <w:tabs>
          <w:tab w:val="left" w:pos="1276"/>
        </w:tabs>
        <w:suppressAutoHyphens/>
        <w:spacing w:after="0" w:line="240" w:lineRule="auto"/>
        <w:contextualSpacing/>
        <w:jc w:val="center"/>
        <w:textAlignment w:val="baseline"/>
        <w:rPr>
          <w:rFonts w:ascii="Times New Roman" w:hAnsi="Times New Roman" w:eastAsia="Times New Roman" w:cs="Times New Roman"/>
          <w:b/>
          <w:kern w:val="2"/>
          <w:sz w:val="24"/>
          <w:szCs w:val="24"/>
          <w:lang w:eastAsia="zh-CN"/>
        </w:rPr>
      </w:pPr>
    </w:p>
    <w:p>
      <w:pPr>
        <w:widowControl w:val="0"/>
        <w:tabs>
          <w:tab w:val="left" w:pos="1276"/>
        </w:tabs>
        <w:suppressAutoHyphens/>
        <w:spacing w:after="0" w:line="240" w:lineRule="auto"/>
        <w:contextualSpacing/>
        <w:jc w:val="center"/>
        <w:textAlignment w:val="baseline"/>
        <w:rPr>
          <w:rFonts w:ascii="Times New Roman" w:hAnsi="Times New Roman" w:eastAsia="Times New Roman" w:cs="Times New Roman"/>
          <w:b/>
          <w:kern w:val="2"/>
          <w:sz w:val="24"/>
          <w:szCs w:val="24"/>
          <w:lang w:eastAsia="zh-CN"/>
        </w:rPr>
      </w:pPr>
      <w:r>
        <w:rPr>
          <w:rFonts w:ascii="Times New Roman" w:hAnsi="Times New Roman" w:eastAsia="Times New Roman" w:cs="Times New Roman"/>
          <w:b/>
          <w:kern w:val="2"/>
          <w:sz w:val="24"/>
          <w:szCs w:val="24"/>
          <w:lang w:eastAsia="zh-CN"/>
        </w:rPr>
        <w:t>2. Эффективность налоговых расходов по налогу на имущество физических лиц</w:t>
      </w:r>
    </w:p>
    <w:p>
      <w:pPr>
        <w:widowControl w:val="0"/>
        <w:tabs>
          <w:tab w:val="left" w:pos="1276"/>
        </w:tabs>
        <w:suppressAutoHyphens/>
        <w:spacing w:after="0" w:line="240" w:lineRule="auto"/>
        <w:contextualSpacing/>
        <w:jc w:val="center"/>
        <w:textAlignment w:val="baseline"/>
        <w:rPr>
          <w:rFonts w:ascii="Times New Roman" w:hAnsi="Times New Roman" w:eastAsia="Times New Roman" w:cs="Times New Roman"/>
          <w:b/>
          <w:kern w:val="2"/>
          <w:sz w:val="24"/>
          <w:szCs w:val="24"/>
          <w:lang w:eastAsia="zh-CN"/>
        </w:rPr>
      </w:pPr>
    </w:p>
    <w:p>
      <w:pPr>
        <w:widowControl w:val="0"/>
        <w:tabs>
          <w:tab w:val="left" w:pos="426"/>
        </w:tabs>
        <w:suppressAutoHyphens/>
        <w:autoSpaceDE w:val="0"/>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В соответствии с решением Думы Белоярского района от 29.10.2014 года № 486 «Об утверждении Положения о налоге на имущество физических лиц на межселенной территории Белоярского района» налоговые расходы представлены в виде налоговых льгот для отдельных категорий физических и юридических лиц.</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Оценка эффективности проведена кураторами налоговых расходов по 2 видам налоговых расходов (1 стимулирующий и 1 социальный), распределенным по 2 муниципальным программам в соответствии с показателями достижения целей (таблица 2 приложения 1 к аналитической справке).</w:t>
      </w:r>
    </w:p>
    <w:p>
      <w:pPr>
        <w:widowControl w:val="0"/>
        <w:suppressAutoHyphens/>
        <w:spacing w:after="0" w:line="240" w:lineRule="auto"/>
        <w:ind w:firstLine="709"/>
        <w:jc w:val="both"/>
        <w:textAlignment w:val="baseline"/>
        <w:rPr>
          <w:rFonts w:ascii="Times New Roman" w:hAnsi="Times New Roman" w:eastAsia="Times New Roman" w:cs="Times New Roman"/>
          <w:b/>
          <w:i/>
          <w:kern w:val="2"/>
          <w:sz w:val="24"/>
          <w:szCs w:val="24"/>
          <w:lang w:eastAsia="zh-CN"/>
        </w:rPr>
      </w:pP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
          <w:i/>
          <w:kern w:val="2"/>
          <w:sz w:val="24"/>
          <w:szCs w:val="24"/>
          <w:lang w:eastAsia="zh-CN"/>
        </w:rPr>
        <w:t>1. В муниципальную программу Белоярского района «Развитие социальной политики на территории Белоярского района»</w:t>
      </w:r>
      <w:r>
        <w:rPr>
          <w:rFonts w:ascii="Times New Roman" w:hAnsi="Times New Roman" w:eastAsia="Times New Roman" w:cs="Times New Roman"/>
          <w:i/>
          <w:kern w:val="2"/>
          <w:sz w:val="24"/>
          <w:szCs w:val="24"/>
          <w:lang w:eastAsia="zh-CN"/>
        </w:rPr>
        <w:t xml:space="preserve">, </w:t>
      </w:r>
      <w:r>
        <w:rPr>
          <w:rFonts w:ascii="Times New Roman" w:hAnsi="Times New Roman" w:eastAsia="Times New Roman" w:cs="Times New Roman"/>
          <w:kern w:val="2"/>
          <w:sz w:val="24"/>
          <w:szCs w:val="24"/>
          <w:lang w:eastAsia="zh-CN"/>
        </w:rPr>
        <w:t xml:space="preserve">ответственным исполнителем которой является Управление по охране труда и социальной политики администрации Белоярского района, включен 1 социальный налоговый расход «Освобождение от уплаты налога несовершеннолетних владельцев долей имущества».  </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Данный налоговый расход соответствует цели муниципальной программы «Социальная поддержка отдельных категорий граждан, повышение качества жизни жителей Белоярского района». На протяжении 5-ти лет вышеуказанный налоговый расход не был востребован плательщиками налога, но учитывая его социальную направленность (поддержка социально-незащищённых слоев населения), куратором налогового расхода (Управление по охране труда и социальной политики администрации Белоярского района) предлагается сохранить данную льготу.</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
          <w:i/>
          <w:kern w:val="2"/>
          <w:sz w:val="24"/>
          <w:szCs w:val="24"/>
          <w:lang w:eastAsia="zh-CN"/>
        </w:rPr>
        <w:t>2. В муниципальную программу Белоярского района «Развитие малого и среднего предпринимательства  и туризма в Белоярском районе»</w:t>
      </w:r>
      <w:r>
        <w:rPr>
          <w:rFonts w:ascii="Times New Roman" w:hAnsi="Times New Roman" w:eastAsia="Times New Roman" w:cs="Times New Roman"/>
          <w:i/>
          <w:kern w:val="2"/>
          <w:sz w:val="24"/>
          <w:szCs w:val="24"/>
          <w:lang w:eastAsia="zh-CN"/>
        </w:rPr>
        <w:t>,</w:t>
      </w:r>
      <w:r>
        <w:rPr>
          <w:rFonts w:ascii="Times New Roman" w:hAnsi="Times New Roman" w:eastAsia="Times New Roman" w:cs="Times New Roman"/>
          <w:kern w:val="2"/>
          <w:sz w:val="24"/>
          <w:szCs w:val="24"/>
          <w:lang w:eastAsia="zh-CN"/>
        </w:rPr>
        <w:t xml:space="preserve"> ответственным исполнителем которой является Управление природопользования, сельского хозяйства и развития предпринимательства администрации Белоярского района, включен 1 вид налогового расхода стимулирующего характера «Установление пониженной ставки для индивидуальных предпринимателей – владельцев объектов недвижимого имущества», включенного в перечень, определяемый в соответствии с пунктом 7 статьи 378.2 Налогового кодекса Российской Федерации </w:t>
      </w:r>
      <w:r>
        <w:rPr>
          <w:rFonts w:ascii="Times New Roman" w:hAnsi="Times New Roman" w:eastAsia="Times New Roman"/>
          <w:kern w:val="2"/>
          <w:sz w:val="24"/>
          <w:szCs w:val="24"/>
          <w:lang w:eastAsia="zh-CN"/>
        </w:rPr>
        <w:t>и  объектов налогообложения, предусмотренных абзацем вторым пункта 10 статьи 378.2 Налогового кодекса Российской Федерации, а также  объектов налогообложения, кадастровая стоимость каждого из которых превышает 300 миллионов рублей</w:t>
      </w:r>
      <w:r>
        <w:rPr>
          <w:rFonts w:ascii="Times New Roman" w:hAnsi="Times New Roman" w:eastAsia="Times New Roman" w:cs="Times New Roman"/>
          <w:kern w:val="2"/>
          <w:sz w:val="24"/>
          <w:szCs w:val="24"/>
          <w:lang w:eastAsia="zh-CN"/>
        </w:rPr>
        <w:t>».</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Данный налоговый расход соответствует цели муниципальной программы «Содействие развитию малого и среднего предпринимательства в Белоярском районе». </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На протяжении 5-ти лет налоговый расход не был востребован плательщиками налога.</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Преимущества представленного налогового расхода относительно доступных альтернативных механизмов государственной (муниципальной) поддержки является его экономичность. Альтернативный механизм субсидирования расходов имеет компенсационный, целевой характер и направлен на возмещение части затрат субъектов малого и среднего предпринимательства, в то время, как налоговые льготы дают вариативность в принятии решения данной категорией плательщиков в использовании высвободившихся средств на пополнение оборотных средств и инвестиций в основной капитал. Куратором налогового расхода (Управлением природопользования, сельского хозяйства и развития предпринимательства администрации Белоярского района) предлагается сохранить данную льготу.</w:t>
      </w:r>
    </w:p>
    <w:p>
      <w:pPr>
        <w:widowControl w:val="0"/>
        <w:tabs>
          <w:tab w:val="left" w:pos="1276"/>
        </w:tabs>
        <w:suppressAutoHyphens/>
        <w:spacing w:after="0" w:line="240" w:lineRule="auto"/>
        <w:contextualSpacing/>
        <w:jc w:val="center"/>
        <w:textAlignment w:val="baseline"/>
        <w:rPr>
          <w:rFonts w:ascii="Times New Roman" w:hAnsi="Times New Roman" w:eastAsia="Times New Roman" w:cs="Times New Roman"/>
          <w:b/>
          <w:kern w:val="2"/>
          <w:sz w:val="24"/>
          <w:szCs w:val="24"/>
          <w:lang w:eastAsia="zh-CN"/>
        </w:rPr>
      </w:pPr>
    </w:p>
    <w:p>
      <w:pPr>
        <w:widowControl w:val="0"/>
        <w:tabs>
          <w:tab w:val="left" w:pos="1276"/>
        </w:tabs>
        <w:suppressAutoHyphens/>
        <w:spacing w:after="0" w:line="240" w:lineRule="auto"/>
        <w:contextualSpacing/>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
          <w:kern w:val="2"/>
          <w:sz w:val="24"/>
          <w:szCs w:val="24"/>
          <w:lang w:eastAsia="zh-CN"/>
        </w:rPr>
        <w:t>3. Выводы</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Установленные налоговые расходы района направлены на достижение целей 5 муниципальных программ Белоярского района и 1 цели Стратегии социально-экономического развития района, в том числе:</w:t>
      </w:r>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социальную поддержку отдельных категорий граждан, повышение качества жизни жителей района;</w:t>
      </w:r>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поддержку сельскохозяйственных производителей;</w:t>
      </w:r>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поддержку субъектов малого предпринимательства, развития предпринимательской деятельности;</w:t>
      </w:r>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создание условий для развития институтов гражданского общества и реализации гражданских инициатив;</w:t>
      </w:r>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оптимизацию бюджетных расходов, исключение встречных финансовых потоков;</w:t>
      </w:r>
    </w:p>
    <w:p>
      <w:pPr>
        <w:suppressAutoHyphens/>
        <w:autoSpaceDE w:val="0"/>
        <w:spacing w:after="0" w:line="240" w:lineRule="auto"/>
        <w:ind w:firstLine="709"/>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ru-RU"/>
        </w:rPr>
        <w:t>- поддержка о</w:t>
      </w:r>
      <w:r>
        <w:rPr>
          <w:rFonts w:ascii="Times New Roman" w:hAnsi="Times New Roman" w:eastAsia="Times New Roman"/>
          <w:kern w:val="2"/>
          <w:sz w:val="24"/>
          <w:szCs w:val="24"/>
          <w:lang w:eastAsia="zh-CN"/>
        </w:rPr>
        <w:t>бъектов связи, радиовещания, телевидения и информатики;</w:t>
      </w:r>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создание на территории района благоприятного инвестиционного климата, развития конкуренции;</w:t>
      </w:r>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для поддержки инвестиционных проектов, реализуемых резидентами Арктической зоны Российской Федерации.</w:t>
      </w:r>
    </w:p>
    <w:p>
      <w:pPr>
        <w:suppressAutoHyphens/>
        <w:autoSpaceDE w:val="0"/>
        <w:spacing w:after="0" w:line="240" w:lineRule="auto"/>
        <w:ind w:firstLine="709"/>
        <w:jc w:val="both"/>
        <w:rPr>
          <w:rFonts w:ascii="Times New Roman" w:hAnsi="Times New Roman" w:eastAsia="Calibri" w:cs="Times New Roman"/>
          <w:sz w:val="24"/>
          <w:szCs w:val="24"/>
          <w:lang w:eastAsia="ru-RU"/>
        </w:rPr>
      </w:pPr>
      <w:bookmarkStart w:id="0" w:name="_GoBack"/>
      <w:bookmarkEnd w:id="0"/>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 итогам оценки эффективности налоговых расходов по критериям целесообразности и результативности установлено следующее.</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На протяжении пяти лет невостребованными оказалось 7 налоговых расходов, в том числе:</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по земельному налогу – 5 видов налоговых расходов,</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по налогу на имущество физических лиц – 2 вида налоговых расхода.</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Два налоговых расхода установлены на территории района недавно, в настоящее время заявители на данные льготы отсутствуют, но выявлены 4 потенциальных получателя льгот в последующие налоговые периоды.</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Все установленные налоговые расходы района соответствуют целям муниципальных программ Белоярского района и Стратегии социально - экономического развития Белоярского района до 2030 года.</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Сравнительный анализ результативности предоставления налоговых расходов и результативности применения альтернативных механизмов достижения целей муниципальных программ района показал, что существующий механизм льготного налогообложения более эффективный и менее затратный для бюджета района. Налоговые расходы являются дополнительной мерой поддержки для отдельных категорий налогоплательщиков.</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Исходя из значений критериев результативности налоговые расходы района признаны неэффективными в 9-ти случаях, но, учитывая их направленность, а также принимая во внимание предложения кураторов налоговых расходов, при формировании основных направлений налоговой и бюджетной политики района предлагается установленные на территории Белоярского района налоговые расходы, включенные в Перечень сохранить в полном составе.</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p>
    <w:p>
      <w:pPr>
        <w:suppressAutoHyphens/>
        <w:spacing w:after="0" w:line="240" w:lineRule="auto"/>
        <w:jc w:val="both"/>
        <w:rPr>
          <w:rFonts w:ascii="Times New Roman" w:hAnsi="Times New Roman" w:eastAsia="Calibri" w:cs="Times New Roman"/>
          <w:sz w:val="24"/>
          <w:szCs w:val="24"/>
          <w:lang w:eastAsia="zh-CN"/>
        </w:rPr>
      </w:pPr>
    </w:p>
    <w:p>
      <w:pPr>
        <w:suppressAutoHyphens/>
        <w:spacing w:after="0" w:line="240" w:lineRule="auto"/>
        <w:jc w:val="both"/>
        <w:rPr>
          <w:rFonts w:ascii="Times New Roman" w:hAnsi="Times New Roman" w:eastAsia="Calibri" w:cs="Times New Roman"/>
          <w:sz w:val="24"/>
          <w:szCs w:val="24"/>
          <w:lang w:eastAsia="zh-CN"/>
        </w:rPr>
      </w:pPr>
    </w:p>
    <w:p>
      <w:pPr>
        <w:suppressAutoHyphens/>
        <w:spacing w:after="0" w:line="240"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Заместитель председателя </w:t>
      </w:r>
    </w:p>
    <w:p>
      <w:pPr>
        <w:suppressAutoHyphens/>
        <w:spacing w:after="0" w:line="240"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Комитета по финансам и налоговой политике </w:t>
      </w:r>
    </w:p>
    <w:p>
      <w:pPr>
        <w:suppressAutoHyphens/>
        <w:spacing w:after="0" w:line="240"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администрации Белоярского района</w:t>
      </w:r>
    </w:p>
    <w:p>
      <w:pPr>
        <w:suppressAutoHyphens/>
        <w:spacing w:after="0" w:line="240" w:lineRule="auto"/>
        <w:jc w:val="both"/>
      </w:pPr>
      <w:r>
        <w:rPr>
          <w:rFonts w:ascii="Times New Roman" w:hAnsi="Times New Roman" w:eastAsia="Calibri" w:cs="Times New Roman"/>
          <w:sz w:val="24"/>
          <w:szCs w:val="24"/>
          <w:lang w:eastAsia="zh-CN"/>
        </w:rPr>
        <w:t>по доходам                                                                                                  Н.Н. Ахметчина</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rPr>
          <w:sz w:val="16"/>
          <w:szCs w:val="16"/>
        </w:rPr>
      </w:pPr>
    </w:p>
    <w:p>
      <w:pPr>
        <w:spacing w:after="0" w:line="240" w:lineRule="auto"/>
        <w:rPr>
          <w:rFonts w:ascii="Times New Roman" w:hAnsi="Times New Roman" w:cs="Times New Roman"/>
          <w:sz w:val="16"/>
          <w:szCs w:val="16"/>
        </w:rPr>
      </w:pPr>
      <w:r>
        <w:rPr>
          <w:rFonts w:ascii="Times New Roman" w:hAnsi="Times New Roman" w:cs="Times New Roman"/>
          <w:sz w:val="16"/>
          <w:szCs w:val="16"/>
        </w:rPr>
        <w:t>тел.8(34670)62181</w:t>
      </w:r>
    </w:p>
    <w:p>
      <w:pPr>
        <w:spacing w:after="0" w:line="240" w:lineRule="auto"/>
        <w:sectPr>
          <w:headerReference r:id="rId5" w:type="first"/>
          <w:footerReference r:id="rId6" w:type="first"/>
          <w:footnotePr>
            <w:pos w:val="beneathText"/>
          </w:footnotePr>
          <w:pgSz w:w="11906" w:h="16838"/>
          <w:pgMar w:top="1440" w:right="866" w:bottom="1134" w:left="1800" w:header="720" w:footer="720" w:gutter="0"/>
          <w:cols w:space="720" w:num="1"/>
          <w:docGrid w:linePitch="360" w:charSpace="0"/>
        </w:sectPr>
      </w:pPr>
      <w:r>
        <w:t xml:space="preserve">       </w:t>
      </w:r>
    </w:p>
    <w:p>
      <w:pPr>
        <w:spacing w:after="0" w:line="240" w:lineRule="auto"/>
      </w:pPr>
    </w:p>
    <w:p>
      <w:pPr>
        <w:spacing w:after="0" w:line="240" w:lineRule="auto"/>
        <w:ind w:firstLine="10120"/>
        <w:rPr>
          <w:rFonts w:ascii="Times New Roman" w:hAnsi="Times New Roman" w:cs="Times New Roman"/>
          <w:sz w:val="20"/>
          <w:szCs w:val="20"/>
        </w:rPr>
      </w:pPr>
      <w:r>
        <w:rPr>
          <w:rFonts w:ascii="Times New Roman" w:hAnsi="Times New Roman" w:cs="Times New Roman"/>
          <w:sz w:val="20"/>
          <w:szCs w:val="20"/>
        </w:rPr>
        <w:t>ПРИЛОЖЕНИЕ 1</w:t>
      </w:r>
    </w:p>
    <w:p>
      <w:pPr>
        <w:spacing w:after="0" w:line="240" w:lineRule="auto"/>
        <w:ind w:firstLine="10120"/>
        <w:rPr>
          <w:rFonts w:ascii="Times New Roman" w:hAnsi="Times New Roman" w:cs="Times New Roman"/>
          <w:sz w:val="20"/>
          <w:szCs w:val="20"/>
        </w:rPr>
      </w:pPr>
      <w:r>
        <w:rPr>
          <w:rFonts w:ascii="Times New Roman" w:hAnsi="Times New Roman" w:cs="Times New Roman"/>
          <w:sz w:val="20"/>
          <w:szCs w:val="20"/>
        </w:rPr>
        <w:t>к аналитической записке о результатах оценки</w:t>
      </w:r>
    </w:p>
    <w:p>
      <w:pPr>
        <w:spacing w:after="0" w:line="240" w:lineRule="auto"/>
        <w:ind w:firstLine="10120"/>
        <w:rPr>
          <w:rFonts w:ascii="Times New Roman" w:hAnsi="Times New Roman" w:cs="Times New Roman"/>
          <w:sz w:val="20"/>
          <w:szCs w:val="20"/>
        </w:rPr>
      </w:pPr>
      <w:r>
        <w:rPr>
          <w:rFonts w:ascii="Times New Roman" w:hAnsi="Times New Roman" w:cs="Times New Roman"/>
          <w:sz w:val="20"/>
          <w:szCs w:val="20"/>
        </w:rPr>
        <w:t>эффективности предоставленных налоговых расходов</w:t>
      </w:r>
    </w:p>
    <w:p>
      <w:pPr>
        <w:spacing w:after="0" w:line="240" w:lineRule="auto"/>
        <w:ind w:firstLine="10120"/>
        <w:rPr>
          <w:rFonts w:ascii="Times New Roman" w:hAnsi="Times New Roman" w:cs="Times New Roman"/>
          <w:sz w:val="20"/>
          <w:szCs w:val="20"/>
        </w:rPr>
      </w:pPr>
      <w:r>
        <w:rPr>
          <w:rFonts w:ascii="Times New Roman" w:hAnsi="Times New Roman" w:cs="Times New Roman"/>
          <w:sz w:val="20"/>
          <w:szCs w:val="20"/>
        </w:rPr>
        <w:t>Белоярского района за 2023 год</w:t>
      </w:r>
    </w:p>
    <w:p>
      <w:pPr>
        <w:spacing w:after="0" w:line="240" w:lineRule="auto"/>
        <w:ind w:firstLine="4678"/>
        <w:rPr>
          <w:sz w:val="20"/>
          <w:szCs w:val="20"/>
        </w:rPr>
      </w:pPr>
    </w:p>
    <w:p>
      <w:pPr>
        <w:spacing w:after="0" w:line="240" w:lineRule="auto"/>
        <w:ind w:firstLine="4678"/>
        <w:rPr>
          <w:sz w:val="20"/>
          <w:szCs w:val="20"/>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Результаты оценки эффективности налоговых расходов</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Белоярского района за 2023 год</w:t>
      </w:r>
    </w:p>
    <w:p>
      <w:pPr>
        <w:spacing w:after="0" w:line="240" w:lineRule="auto"/>
      </w:pPr>
    </w:p>
    <w:p>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Таблица 1</w:t>
      </w:r>
    </w:p>
    <w:p>
      <w:pPr>
        <w:spacing w:after="0" w:line="240" w:lineRule="auto"/>
        <w:rPr>
          <w:b/>
        </w:rPr>
      </w:pPr>
      <w:r>
        <w:rPr>
          <w:rFonts w:ascii="Times New Roman" w:hAnsi="Times New Roman" w:cs="Times New Roman"/>
          <w:b/>
          <w:sz w:val="24"/>
          <w:szCs w:val="24"/>
        </w:rPr>
        <w:t>1. По земельному налогу:</w:t>
      </w:r>
    </w:p>
    <w:tbl>
      <w:tblPr>
        <w:tblStyle w:val="3"/>
        <w:tblW w:w="15075" w:type="dxa"/>
        <w:tblInd w:w="-162" w:type="dxa"/>
        <w:tblLayout w:type="fixed"/>
        <w:tblCellMar>
          <w:top w:w="0" w:type="dxa"/>
          <w:left w:w="10" w:type="dxa"/>
          <w:bottom w:w="0" w:type="dxa"/>
          <w:right w:w="10" w:type="dxa"/>
        </w:tblCellMar>
      </w:tblPr>
      <w:tblGrid>
        <w:gridCol w:w="284"/>
        <w:gridCol w:w="2000"/>
        <w:gridCol w:w="1984"/>
        <w:gridCol w:w="782"/>
        <w:gridCol w:w="1225"/>
        <w:gridCol w:w="1300"/>
        <w:gridCol w:w="1112"/>
        <w:gridCol w:w="1863"/>
        <w:gridCol w:w="1575"/>
        <w:gridCol w:w="1350"/>
        <w:gridCol w:w="1600"/>
      </w:tblGrid>
      <w:tr>
        <w:tblPrEx>
          <w:tblCellMar>
            <w:top w:w="0" w:type="dxa"/>
            <w:left w:w="10" w:type="dxa"/>
            <w:bottom w:w="0" w:type="dxa"/>
            <w:right w:w="10" w:type="dxa"/>
          </w:tblCellMar>
        </w:tblPrEx>
        <w:trPr>
          <w:tblHeader/>
        </w:trPr>
        <w:tc>
          <w:tcPr>
            <w:tcW w:w="284"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val="en-US" w:eastAsia="zh-CN" w:bidi="hi-IN"/>
              </w:rPr>
              <w:t>№</w:t>
            </w:r>
            <w:r>
              <w:rPr>
                <w:rFonts w:ascii="Times New Roman" w:hAnsi="Times New Roman" w:eastAsia="Times New Roman" w:cs="Times New Roman"/>
                <w:b/>
                <w:kern w:val="2"/>
                <w:sz w:val="14"/>
                <w:szCs w:val="14"/>
                <w:lang w:val="en-US" w:eastAsia="zh-CN" w:bidi="hi-IN"/>
              </w:rPr>
              <w:t xml:space="preserve"> </w:t>
            </w:r>
            <w:r>
              <w:rPr>
                <w:rFonts w:ascii="Times New Roman" w:hAnsi="Times New Roman" w:eastAsia="SimSun" w:cs="Mangal"/>
                <w:b/>
                <w:kern w:val="2"/>
                <w:sz w:val="14"/>
                <w:szCs w:val="14"/>
                <w:lang w:val="en-US" w:eastAsia="zh-CN" w:bidi="hi-IN"/>
              </w:rPr>
              <w:t>п/п</w:t>
            </w:r>
          </w:p>
        </w:tc>
        <w:tc>
          <w:tcPr>
            <w:tcW w:w="2000"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Наименование налогового расхода (налоговых льгот, освобождений и иных преференций)</w:t>
            </w:r>
          </w:p>
        </w:tc>
        <w:tc>
          <w:tcPr>
            <w:tcW w:w="1984"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Цели предоставления налоговых расходов</w:t>
            </w:r>
          </w:p>
        </w:tc>
        <w:tc>
          <w:tcPr>
            <w:tcW w:w="78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Объем налоговых расходов (тыс. руб.)</w:t>
            </w:r>
          </w:p>
        </w:tc>
        <w:tc>
          <w:tcPr>
            <w:tcW w:w="122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Численность плательщиков налогов, воспользовавшихся налоговым расходом (единиц)</w:t>
            </w:r>
          </w:p>
        </w:tc>
        <w:tc>
          <w:tcPr>
            <w:tcW w:w="1300"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 xml:space="preserve">Востребованность плательщиками предоставленных налоговых расходов (коэффициент востребованности &gt; 0,3)                                 </w:t>
            </w:r>
          </w:p>
        </w:tc>
        <w:tc>
          <w:tcPr>
            <w:tcW w:w="111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 xml:space="preserve">Коэффициент эффективности вклада  (&gt; 0)                                  </w:t>
            </w:r>
          </w:p>
        </w:tc>
        <w:tc>
          <w:tcPr>
            <w:tcW w:w="1863"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Оценка вклада предусмотренного налогового расхода в изменение значения показателя (индикатора) достижения целей государственных программ автономного округа</w:t>
            </w:r>
          </w:p>
        </w:tc>
        <w:tc>
          <w:tcPr>
            <w:tcW w:w="157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Результат сравнительного анализа результативности</w:t>
            </w:r>
          </w:p>
        </w:tc>
        <w:tc>
          <w:tcPr>
            <w:tcW w:w="1350"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Бюджетный эффект (самоокупаемость)             (тыс. руб.)</w:t>
            </w:r>
          </w:p>
          <w:p>
            <w:pPr>
              <w:suppressAutoHyphens/>
              <w:spacing w:after="0" w:line="240" w:lineRule="auto"/>
              <w:jc w:val="center"/>
              <w:rPr>
                <w:rFonts w:ascii="Times New Roman" w:hAnsi="Times New Roman" w:eastAsia="SimSun" w:cs="Mangal"/>
                <w:b/>
                <w:kern w:val="2"/>
                <w:sz w:val="14"/>
                <w:szCs w:val="14"/>
                <w:lang w:eastAsia="zh-CN" w:bidi="hi-IN"/>
              </w:rPr>
            </w:pPr>
            <w:r>
              <w:rPr>
                <w:rFonts w:ascii="Times New Roman" w:hAnsi="Times New Roman" w:eastAsia="Times New Roman" w:cs="Times New Roman"/>
                <w:b/>
                <w:kern w:val="2"/>
                <w:sz w:val="14"/>
                <w:szCs w:val="14"/>
                <w:lang w:eastAsia="zh-CN" w:bidi="hi-IN"/>
              </w:rPr>
              <w:t xml:space="preserve"> </w:t>
            </w:r>
            <w:r>
              <w:rPr>
                <w:rFonts w:ascii="Times New Roman" w:hAnsi="Times New Roman" w:eastAsia="SimSun" w:cs="Mangal"/>
                <w:b/>
                <w:kern w:val="2"/>
                <w:sz w:val="14"/>
                <w:szCs w:val="14"/>
                <w:lang w:eastAsia="zh-CN" w:bidi="hi-IN"/>
              </w:rPr>
              <w:t>(&gt; 0)</w:t>
            </w:r>
            <w:r>
              <w:rPr>
                <w:rFonts w:ascii="Times New Roman" w:hAnsi="Times New Roman" w:eastAsia="SimSun" w:cs="Mangal"/>
                <w:b/>
                <w:kern w:val="2"/>
                <w:sz w:val="14"/>
                <w:szCs w:val="14"/>
                <w:vertAlign w:val="superscript"/>
                <w:lang w:eastAsia="zh-CN" w:bidi="hi-IN"/>
              </w:rPr>
              <w:footnoteReference w:id="0"/>
            </w:r>
          </w:p>
        </w:tc>
        <w:tc>
          <w:tcPr>
            <w:tcW w:w="1600"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Результат оценки эффективности налогового расхода</w:t>
            </w:r>
          </w:p>
          <w:p>
            <w:pPr>
              <w:suppressAutoHyphens/>
              <w:spacing w:after="0" w:line="240" w:lineRule="auto"/>
              <w:jc w:val="center"/>
              <w:rPr>
                <w:rFonts w:ascii="Times New Roman" w:hAnsi="Times New Roman" w:eastAsia="SimSun" w:cs="Mangal"/>
                <w:b/>
                <w:kern w:val="2"/>
                <w:sz w:val="14"/>
                <w:szCs w:val="14"/>
                <w:lang w:val="en-US" w:eastAsia="zh-CN" w:bidi="hi-IN"/>
              </w:rPr>
            </w:pPr>
          </w:p>
        </w:tc>
      </w:tr>
      <w:tr>
        <w:tblPrEx>
          <w:tblCellMar>
            <w:top w:w="0" w:type="dxa"/>
            <w:left w:w="10" w:type="dxa"/>
            <w:bottom w:w="0" w:type="dxa"/>
            <w:right w:w="10" w:type="dxa"/>
          </w:tblCellMar>
        </w:tblPrEx>
        <w:trPr>
          <w:trHeight w:val="264" w:hRule="atLeast"/>
          <w:tblHeader/>
        </w:trPr>
        <w:tc>
          <w:tcPr>
            <w:tcW w:w="284"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1</w:t>
            </w:r>
          </w:p>
        </w:tc>
        <w:tc>
          <w:tcPr>
            <w:tcW w:w="2000"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2</w:t>
            </w:r>
          </w:p>
        </w:tc>
        <w:tc>
          <w:tcPr>
            <w:tcW w:w="1984"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3</w:t>
            </w:r>
          </w:p>
        </w:tc>
        <w:tc>
          <w:tcPr>
            <w:tcW w:w="782"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4</w:t>
            </w:r>
          </w:p>
        </w:tc>
        <w:tc>
          <w:tcPr>
            <w:tcW w:w="1225"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5</w:t>
            </w:r>
          </w:p>
        </w:tc>
        <w:tc>
          <w:tcPr>
            <w:tcW w:w="1300"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6</w:t>
            </w:r>
          </w:p>
        </w:tc>
        <w:tc>
          <w:tcPr>
            <w:tcW w:w="1112"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7</w:t>
            </w:r>
          </w:p>
        </w:tc>
        <w:tc>
          <w:tcPr>
            <w:tcW w:w="1863"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8</w:t>
            </w:r>
          </w:p>
        </w:tc>
        <w:tc>
          <w:tcPr>
            <w:tcW w:w="1575"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9</w:t>
            </w:r>
          </w:p>
        </w:tc>
        <w:tc>
          <w:tcPr>
            <w:tcW w:w="1350"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10</w:t>
            </w:r>
          </w:p>
        </w:tc>
        <w:tc>
          <w:tcPr>
            <w:tcW w:w="1600" w:type="dxa"/>
            <w:tcBorders>
              <w:top w:val="nil"/>
              <w:left w:val="single" w:color="000000" w:sz="4" w:space="0"/>
              <w:bottom w:val="single" w:color="000000" w:sz="4" w:space="0"/>
              <w:right w:val="single" w:color="000000" w:sz="4" w:space="0"/>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11</w:t>
            </w:r>
          </w:p>
        </w:tc>
      </w:tr>
      <w:tr>
        <w:tblPrEx>
          <w:tblCellMar>
            <w:top w:w="0" w:type="dxa"/>
            <w:left w:w="10" w:type="dxa"/>
            <w:bottom w:w="0" w:type="dxa"/>
            <w:right w:w="10" w:type="dxa"/>
          </w:tblCellMar>
        </w:tblPrEx>
        <w:trPr>
          <w:trHeight w:val="216" w:hRule="atLeast"/>
        </w:trPr>
        <w:tc>
          <w:tcPr>
            <w:tcW w:w="15075" w:type="dxa"/>
            <w:gridSpan w:val="11"/>
            <w:tcBorders>
              <w:top w:val="nil"/>
              <w:left w:val="single" w:color="000000" w:sz="4" w:space="0"/>
              <w:bottom w:val="single" w:color="000000" w:sz="4" w:space="0"/>
              <w:right w:val="single" w:color="000000" w:sz="4" w:space="0"/>
            </w:tcBorders>
            <w:tcMar>
              <w:top w:w="55" w:type="dxa"/>
              <w:left w:w="55" w:type="dxa"/>
              <w:bottom w:w="55" w:type="dxa"/>
              <w:right w:w="55" w:type="dxa"/>
            </w:tcMar>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Times New Roman" w:cs="Times New Roman"/>
                <w:b/>
                <w:kern w:val="2"/>
                <w:sz w:val="24"/>
                <w:szCs w:val="24"/>
                <w:lang w:eastAsia="zh-CN"/>
              </w:rPr>
              <w:t>1. Муниципальная программа Белоярского района «Управление муниципальными финансами в Белоярском районе» (куратор - Комитет по финансам и налоговой политике администрации Белоярского района)</w:t>
            </w:r>
          </w:p>
        </w:tc>
      </w:tr>
      <w:tr>
        <w:tblPrEx>
          <w:tblCellMar>
            <w:top w:w="0" w:type="dxa"/>
            <w:left w:w="10" w:type="dxa"/>
            <w:bottom w:w="0" w:type="dxa"/>
            <w:right w:w="10" w:type="dxa"/>
          </w:tblCellMar>
        </w:tblPrEx>
        <w:trPr>
          <w:trHeight w:val="916" w:hRule="atLeast"/>
        </w:trPr>
        <w:tc>
          <w:tcPr>
            <w:tcW w:w="284" w:type="dxa"/>
            <w:tcBorders>
              <w:top w:val="nil"/>
              <w:left w:val="single" w:color="000000" w:sz="4" w:space="0"/>
              <w:bottom w:val="single" w:color="000000" w:sz="4" w:space="0"/>
              <w:right w:val="nil"/>
            </w:tcBorders>
            <w:vAlign w:val="center"/>
          </w:tcPr>
          <w:p>
            <w:pPr>
              <w:suppressLineNumbers/>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1</w:t>
            </w:r>
          </w:p>
        </w:tc>
        <w:tc>
          <w:tcPr>
            <w:tcW w:w="2000"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Освобождение от уплаты налога органов местного самоуправления </w:t>
            </w:r>
          </w:p>
        </w:tc>
        <w:tc>
          <w:tcPr>
            <w:tcW w:w="1984"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Исключение встречных финансовых потоков, оптимизации бюджетных расходов</w:t>
            </w:r>
          </w:p>
        </w:tc>
        <w:tc>
          <w:tcPr>
            <w:tcW w:w="782"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color w:val="000000"/>
                <w:kern w:val="2"/>
                <w:sz w:val="18"/>
                <w:szCs w:val="18"/>
                <w:lang w:eastAsia="zh-CN" w:bidi="hi-IN"/>
              </w:rPr>
            </w:pPr>
            <w:r>
              <w:rPr>
                <w:rFonts w:ascii="Times New Roman" w:hAnsi="Times New Roman" w:eastAsia="SimSun" w:cs="Times New Roman"/>
                <w:color w:val="000000"/>
                <w:kern w:val="2"/>
                <w:sz w:val="18"/>
                <w:szCs w:val="18"/>
                <w:lang w:eastAsia="zh-CN" w:bidi="hi-IN"/>
              </w:rPr>
              <w:t>0,00</w:t>
            </w:r>
          </w:p>
        </w:tc>
        <w:tc>
          <w:tcPr>
            <w:tcW w:w="1225"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1</w:t>
            </w:r>
          </w:p>
        </w:tc>
        <w:tc>
          <w:tcPr>
            <w:tcW w:w="1300"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 востребован</w:t>
            </w:r>
          </w:p>
        </w:tc>
        <w:tc>
          <w:tcPr>
            <w:tcW w:w="1112"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w:t>
            </w:r>
          </w:p>
        </w:tc>
        <w:tc>
          <w:tcPr>
            <w:tcW w:w="1863"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 результативный</w:t>
            </w:r>
          </w:p>
        </w:tc>
        <w:tc>
          <w:tcPr>
            <w:tcW w:w="1575"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 xml:space="preserve">Налоговый расход  относительно экономный </w:t>
            </w:r>
          </w:p>
        </w:tc>
        <w:tc>
          <w:tcPr>
            <w:tcW w:w="1350"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Х</w:t>
            </w:r>
          </w:p>
        </w:tc>
        <w:tc>
          <w:tcPr>
            <w:tcW w:w="1600" w:type="dxa"/>
            <w:tcBorders>
              <w:top w:val="nil"/>
              <w:left w:val="single" w:color="000000" w:sz="4" w:space="0"/>
              <w:bottom w:val="single" w:color="000000"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недостаточно эффективный</w:t>
            </w:r>
          </w:p>
        </w:tc>
      </w:tr>
      <w:tr>
        <w:tblPrEx>
          <w:tblCellMar>
            <w:top w:w="0" w:type="dxa"/>
            <w:left w:w="10" w:type="dxa"/>
            <w:bottom w:w="0" w:type="dxa"/>
            <w:right w:w="10" w:type="dxa"/>
          </w:tblCellMar>
        </w:tblPrEx>
        <w:tc>
          <w:tcPr>
            <w:tcW w:w="284" w:type="dxa"/>
            <w:tcBorders>
              <w:top w:val="nil"/>
              <w:left w:val="single" w:color="000000" w:sz="4" w:space="0"/>
              <w:bottom w:val="single" w:color="auto" w:sz="4" w:space="0"/>
              <w:right w:val="nil"/>
            </w:tcBorders>
            <w:vAlign w:val="center"/>
          </w:tcPr>
          <w:p>
            <w:pPr>
              <w:suppressLineNumbers/>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2</w:t>
            </w:r>
          </w:p>
        </w:tc>
        <w:tc>
          <w:tcPr>
            <w:tcW w:w="2000" w:type="dxa"/>
            <w:tcBorders>
              <w:top w:val="nil"/>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Освобождение от уплаты налога муниципальных учреждений Белоярского района</w:t>
            </w:r>
          </w:p>
        </w:tc>
        <w:tc>
          <w:tcPr>
            <w:tcW w:w="1984" w:type="dxa"/>
            <w:tcBorders>
              <w:top w:val="nil"/>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Исключение встречных финансовых потоков, оптимизации бюджетных расходов</w:t>
            </w:r>
          </w:p>
        </w:tc>
        <w:tc>
          <w:tcPr>
            <w:tcW w:w="782"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color w:val="000000"/>
                <w:kern w:val="2"/>
                <w:sz w:val="18"/>
                <w:szCs w:val="18"/>
                <w:lang w:eastAsia="zh-CN" w:bidi="hi-IN"/>
              </w:rPr>
            </w:pPr>
            <w:r>
              <w:rPr>
                <w:rFonts w:ascii="Times New Roman" w:hAnsi="Times New Roman" w:eastAsia="SimSun" w:cs="Times New Roman"/>
                <w:color w:val="000000"/>
                <w:kern w:val="2"/>
                <w:sz w:val="18"/>
                <w:szCs w:val="18"/>
                <w:lang w:eastAsia="zh-CN" w:bidi="hi-IN"/>
              </w:rPr>
              <w:t>0,00</w:t>
            </w:r>
          </w:p>
        </w:tc>
        <w:tc>
          <w:tcPr>
            <w:tcW w:w="122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0</w:t>
            </w:r>
          </w:p>
        </w:tc>
        <w:tc>
          <w:tcPr>
            <w:tcW w:w="130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 не востребован</w:t>
            </w:r>
          </w:p>
        </w:tc>
        <w:tc>
          <w:tcPr>
            <w:tcW w:w="1112"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w:t>
            </w:r>
          </w:p>
        </w:tc>
        <w:tc>
          <w:tcPr>
            <w:tcW w:w="18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 результативный</w:t>
            </w:r>
          </w:p>
        </w:tc>
        <w:tc>
          <w:tcPr>
            <w:tcW w:w="157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 xml:space="preserve">Налоговый расход  относительно экономный </w:t>
            </w:r>
          </w:p>
        </w:tc>
        <w:tc>
          <w:tcPr>
            <w:tcW w:w="135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Х</w:t>
            </w:r>
          </w:p>
        </w:tc>
        <w:tc>
          <w:tcPr>
            <w:tcW w:w="1600" w:type="dxa"/>
            <w:tcBorders>
              <w:top w:val="nil"/>
              <w:left w:val="single" w:color="000000" w:sz="4" w:space="0"/>
              <w:bottom w:val="single" w:color="auto"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недостаточно эффективный</w:t>
            </w:r>
          </w:p>
        </w:tc>
      </w:tr>
      <w:tr>
        <w:tblPrEx>
          <w:tblCellMar>
            <w:top w:w="0" w:type="dxa"/>
            <w:left w:w="10" w:type="dxa"/>
            <w:bottom w:w="0" w:type="dxa"/>
            <w:right w:w="10" w:type="dxa"/>
          </w:tblCellMar>
        </w:tblPrEx>
        <w:tc>
          <w:tcPr>
            <w:tcW w:w="15075" w:type="dxa"/>
            <w:gridSpan w:val="11"/>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eastAsia="Times New Roman" w:cs="Times New Roman"/>
                <w:b/>
                <w:kern w:val="2"/>
                <w:sz w:val="24"/>
                <w:szCs w:val="24"/>
                <w:lang w:eastAsia="zh-CN"/>
              </w:rPr>
            </w:pPr>
            <w:r>
              <w:rPr>
                <w:rFonts w:ascii="Times New Roman" w:hAnsi="Times New Roman" w:eastAsia="Times New Roman" w:cs="Times New Roman"/>
                <w:b/>
                <w:kern w:val="2"/>
                <w:sz w:val="24"/>
                <w:szCs w:val="24"/>
                <w:lang w:eastAsia="zh-CN"/>
              </w:rPr>
              <w:t>2. Муниципальная программа Белоярского района «Развитие социальной политики на территории Белоярского района» (куратор - Управление по охране труда и социальной политике администрации Белоярского района)</w:t>
            </w:r>
          </w:p>
        </w:tc>
      </w:tr>
      <w:tr>
        <w:tblPrEx>
          <w:tblCellMar>
            <w:top w:w="0" w:type="dxa"/>
            <w:left w:w="10" w:type="dxa"/>
            <w:bottom w:w="0" w:type="dxa"/>
            <w:right w:w="10" w:type="dxa"/>
          </w:tblCellMar>
        </w:tblPrEx>
        <w:trPr>
          <w:trHeight w:val="1108" w:hRule="atLeast"/>
        </w:trPr>
        <w:tc>
          <w:tcPr>
            <w:tcW w:w="28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Освобождение от уплаты налога ветеранов и инвалидов Великой Отечественной войны</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Социальная поддержки  отдельных категорий граждан, повышения качества жизни жителей района</w:t>
            </w:r>
          </w:p>
        </w:tc>
        <w:tc>
          <w:tcPr>
            <w:tcW w:w="782"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color w:val="000000"/>
                <w:kern w:val="2"/>
                <w:sz w:val="18"/>
                <w:szCs w:val="18"/>
                <w:lang w:eastAsia="zh-CN" w:bidi="hi-IN"/>
              </w:rPr>
            </w:pPr>
            <w:r>
              <w:rPr>
                <w:rFonts w:ascii="Times New Roman" w:hAnsi="Times New Roman" w:eastAsia="SimSun" w:cs="Times New Roman"/>
                <w:color w:val="000000"/>
                <w:kern w:val="2"/>
                <w:sz w:val="18"/>
                <w:szCs w:val="18"/>
                <w:lang w:eastAsia="zh-CN" w:bidi="hi-IN"/>
              </w:rPr>
              <w:t>0,00</w:t>
            </w:r>
          </w:p>
        </w:tc>
        <w:tc>
          <w:tcPr>
            <w:tcW w:w="122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0</w:t>
            </w:r>
          </w:p>
        </w:tc>
        <w:tc>
          <w:tcPr>
            <w:tcW w:w="130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 не востребован</w:t>
            </w:r>
          </w:p>
        </w:tc>
        <w:tc>
          <w:tcPr>
            <w:tcW w:w="1112"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w:t>
            </w:r>
          </w:p>
        </w:tc>
        <w:tc>
          <w:tcPr>
            <w:tcW w:w="18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 результативный</w:t>
            </w:r>
          </w:p>
        </w:tc>
        <w:tc>
          <w:tcPr>
            <w:tcW w:w="157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 xml:space="preserve">Налоговый расход  относительно экономный </w:t>
            </w:r>
          </w:p>
        </w:tc>
        <w:tc>
          <w:tcPr>
            <w:tcW w:w="135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Х</w:t>
            </w:r>
          </w:p>
        </w:tc>
        <w:tc>
          <w:tcPr>
            <w:tcW w:w="1600" w:type="dxa"/>
            <w:tcBorders>
              <w:top w:val="nil"/>
              <w:left w:val="single" w:color="000000" w:sz="4" w:space="0"/>
              <w:bottom w:val="single" w:color="auto"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недостаточно эффективный</w:t>
            </w:r>
          </w:p>
        </w:tc>
      </w:tr>
      <w:tr>
        <w:tblPrEx>
          <w:tblCellMar>
            <w:top w:w="0" w:type="dxa"/>
            <w:left w:w="10" w:type="dxa"/>
            <w:bottom w:w="0" w:type="dxa"/>
            <w:right w:w="10" w:type="dxa"/>
          </w:tblCellMar>
        </w:tblPrEx>
        <w:tc>
          <w:tcPr>
            <w:tcW w:w="284" w:type="dxa"/>
            <w:tcBorders>
              <w:top w:val="single" w:color="auto" w:sz="4" w:space="0"/>
              <w:left w:val="single" w:color="auto" w:sz="4" w:space="0"/>
              <w:bottom w:val="single" w:color="auto" w:sz="4" w:space="0"/>
              <w:right w:val="single" w:color="auto" w:sz="4" w:space="0"/>
            </w:tcBorders>
            <w:vAlign w:val="center"/>
          </w:tcPr>
          <w:p>
            <w:pPr>
              <w:suppressLineNumbers/>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000" w:type="dxa"/>
            <w:tcBorders>
              <w:top w:val="nil"/>
              <w:left w:val="single" w:color="auto" w:sz="4" w:space="0"/>
              <w:bottom w:val="single" w:color="auto" w:sz="4" w:space="0"/>
              <w:right w:val="single" w:color="auto" w:sz="4" w:space="0"/>
            </w:tcBorders>
            <w:shd w:val="clear" w:color="auto" w:fill="auto"/>
          </w:tcPr>
          <w:p>
            <w:pPr>
              <w:suppressLineNumbers/>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Освобождение от уплаты налога социально ориентированных некоммерческих организаций</w:t>
            </w:r>
          </w:p>
        </w:tc>
        <w:tc>
          <w:tcPr>
            <w:tcW w:w="1984"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Создание условий для развития институтов гражданского общества и реализации гражданских инициатив</w:t>
            </w:r>
          </w:p>
        </w:tc>
        <w:tc>
          <w:tcPr>
            <w:tcW w:w="782"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22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130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 не востребован</w:t>
            </w:r>
          </w:p>
        </w:tc>
        <w:tc>
          <w:tcPr>
            <w:tcW w:w="1112"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18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Налоговый расход не результативный</w:t>
            </w:r>
          </w:p>
        </w:tc>
        <w:tc>
          <w:tcPr>
            <w:tcW w:w="157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eastAsia="Times New Roman" w:cs="Times New Roman"/>
                <w:kern w:val="2"/>
                <w:sz w:val="18"/>
                <w:szCs w:val="18"/>
                <w:lang w:eastAsia="zh-CN"/>
              </w:rPr>
              <w:t xml:space="preserve">Налоговый расход  относительно экономный </w:t>
            </w:r>
          </w:p>
        </w:tc>
        <w:tc>
          <w:tcPr>
            <w:tcW w:w="135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Х</w:t>
            </w:r>
          </w:p>
        </w:tc>
        <w:tc>
          <w:tcPr>
            <w:tcW w:w="1600" w:type="dxa"/>
            <w:tcBorders>
              <w:top w:val="nil"/>
              <w:left w:val="single" w:color="000000" w:sz="4" w:space="0"/>
              <w:bottom w:val="single" w:color="auto" w:sz="4" w:space="0"/>
              <w:right w:val="single" w:color="000000" w:sz="4" w:space="0"/>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Налоговый расход недостаточно эффективный</w:t>
            </w:r>
          </w:p>
        </w:tc>
      </w:tr>
      <w:tr>
        <w:tblPrEx>
          <w:tblCellMar>
            <w:top w:w="0" w:type="dxa"/>
            <w:left w:w="10" w:type="dxa"/>
            <w:bottom w:w="0" w:type="dxa"/>
            <w:right w:w="10" w:type="dxa"/>
          </w:tblCellMar>
        </w:tblPrEx>
        <w:tc>
          <w:tcPr>
            <w:tcW w:w="15075" w:type="dxa"/>
            <w:gridSpan w:val="11"/>
            <w:tcBorders>
              <w:top w:val="single" w:color="auto" w:sz="4" w:space="0"/>
              <w:left w:val="single" w:color="auto" w:sz="4" w:space="0"/>
              <w:bottom w:val="single" w:color="auto" w:sz="4" w:space="0"/>
              <w:right w:val="single" w:color="auto" w:sz="4" w:space="0"/>
            </w:tcBorders>
          </w:tcPr>
          <w:p>
            <w:pPr>
              <w:numPr>
                <w:ilvl w:val="0"/>
                <w:numId w:val="3"/>
              </w:num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b/>
                <w:kern w:val="2"/>
                <w:sz w:val="24"/>
                <w:szCs w:val="24"/>
                <w:lang w:eastAsia="zh-CN"/>
              </w:rPr>
              <w:t>Муниципальная программа Белоярского района «Обеспечение доступным и комфортным жильем жителей Белоярского района» (куратор - Управление по архитектуре и градостроительству администрации Белоярского района)</w:t>
            </w:r>
          </w:p>
        </w:tc>
      </w:tr>
      <w:tr>
        <w:tblPrEx>
          <w:tblCellMar>
            <w:top w:w="0" w:type="dxa"/>
            <w:left w:w="10" w:type="dxa"/>
            <w:bottom w:w="0" w:type="dxa"/>
            <w:right w:w="10" w:type="dxa"/>
          </w:tblCellMar>
        </w:tblPrEx>
        <w:tc>
          <w:tcPr>
            <w:tcW w:w="284" w:type="dxa"/>
            <w:tcBorders>
              <w:top w:val="single" w:color="auto" w:sz="4" w:space="0"/>
              <w:left w:val="single" w:color="auto" w:sz="4" w:space="0"/>
              <w:bottom w:val="single" w:color="auto" w:sz="4" w:space="0"/>
              <w:right w:val="single" w:color="auto" w:sz="4" w:space="0"/>
            </w:tcBorders>
            <w:vAlign w:val="center"/>
          </w:tcPr>
          <w:p>
            <w:pPr>
              <w:suppressLineNumbers/>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5</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eastAsia="zh-CN"/>
              </w:rPr>
              <w:t>Освобождение от уплаты налога организаций в отношении земельных участков, в границах которых реализуются инвестиционные проекты в соответствии с соглашением о защите и поощрении капиталовложений</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sz w:val="18"/>
                <w:szCs w:val="18"/>
                <w:lang w:eastAsia="zh-CN"/>
              </w:rPr>
              <w:t>Освобождение от уплаты налога организаций в отношении земельных участков, в границах которых реализуются инвестиционные проекты в соответствии с соглашением о защите и поощрении капиталовложений</w:t>
            </w:r>
          </w:p>
        </w:tc>
        <w:tc>
          <w:tcPr>
            <w:tcW w:w="782"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0,00</w:t>
            </w:r>
          </w:p>
        </w:tc>
        <w:tc>
          <w:tcPr>
            <w:tcW w:w="1225"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0</w:t>
            </w:r>
          </w:p>
        </w:tc>
        <w:tc>
          <w:tcPr>
            <w:tcW w:w="1300"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0/ не востребован</w:t>
            </w:r>
          </w:p>
        </w:tc>
        <w:tc>
          <w:tcPr>
            <w:tcW w:w="1112"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0</w:t>
            </w:r>
          </w:p>
        </w:tc>
        <w:tc>
          <w:tcPr>
            <w:tcW w:w="1863"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Налоговый расход не результативный</w:t>
            </w:r>
          </w:p>
        </w:tc>
        <w:tc>
          <w:tcPr>
            <w:tcW w:w="1575"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eastAsia="Times New Roman" w:cs="Times New Roman"/>
                <w:kern w:val="2"/>
                <w:sz w:val="18"/>
                <w:szCs w:val="18"/>
                <w:lang w:eastAsia="zh-CN"/>
              </w:rPr>
              <w:t xml:space="preserve">Налоговый расход  относительно экономный </w:t>
            </w:r>
          </w:p>
        </w:tc>
        <w:tc>
          <w:tcPr>
            <w:tcW w:w="1350"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Х</w:t>
            </w:r>
          </w:p>
        </w:tc>
        <w:tc>
          <w:tcPr>
            <w:tcW w:w="1600"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Налоговый расход недостаточно эффективный</w:t>
            </w:r>
          </w:p>
        </w:tc>
      </w:tr>
      <w:tr>
        <w:tblPrEx>
          <w:tblCellMar>
            <w:top w:w="0" w:type="dxa"/>
            <w:left w:w="10" w:type="dxa"/>
            <w:bottom w:w="0" w:type="dxa"/>
            <w:right w:w="10" w:type="dxa"/>
          </w:tblCellMar>
        </w:tblPrEx>
        <w:tc>
          <w:tcPr>
            <w:tcW w:w="15075" w:type="dxa"/>
            <w:gridSpan w:val="11"/>
            <w:tcBorders>
              <w:top w:val="single" w:color="auto" w:sz="4" w:space="0"/>
              <w:left w:val="single" w:color="auto" w:sz="4" w:space="0"/>
              <w:bottom w:val="single" w:color="auto" w:sz="4" w:space="0"/>
              <w:right w:val="single" w:color="auto" w:sz="4" w:space="0"/>
            </w:tcBorders>
            <w:vAlign w:val="center"/>
          </w:tcPr>
          <w:p>
            <w:pPr>
              <w:numPr>
                <w:ilvl w:val="0"/>
                <w:numId w:val="3"/>
              </w:numPr>
              <w:suppressAutoHyphens/>
              <w:spacing w:after="0" w:line="240" w:lineRule="auto"/>
              <w:jc w:val="center"/>
              <w:rPr>
                <w:rFonts w:ascii="Times New Roman" w:hAnsi="Times New Roman" w:cs="Times New Roman"/>
                <w:color w:val="000000"/>
                <w:sz w:val="18"/>
                <w:szCs w:val="18"/>
              </w:rPr>
            </w:pPr>
            <w:r>
              <w:rPr>
                <w:rFonts w:ascii="Times New Roman" w:hAnsi="Times New Roman" w:eastAsia="Times New Roman" w:cs="Times New Roman"/>
                <w:b/>
                <w:kern w:val="2"/>
                <w:sz w:val="24"/>
                <w:szCs w:val="24"/>
                <w:lang w:eastAsia="zh-CN"/>
              </w:rPr>
              <w:t>Муниципальная программа Белоярского района «Развитие агропромышленного комплекса» (куратор - Управление природопользования, сельского хозяйства и развития предпринимательства администрации Белоярского района)</w:t>
            </w:r>
          </w:p>
        </w:tc>
      </w:tr>
      <w:tr>
        <w:tblPrEx>
          <w:tblCellMar>
            <w:top w:w="0" w:type="dxa"/>
            <w:left w:w="10" w:type="dxa"/>
            <w:bottom w:w="0" w:type="dxa"/>
            <w:right w:w="10" w:type="dxa"/>
          </w:tblCellMar>
        </w:tblPrEx>
        <w:tc>
          <w:tcPr>
            <w:tcW w:w="284" w:type="dxa"/>
            <w:tcBorders>
              <w:top w:val="single" w:color="auto" w:sz="4" w:space="0"/>
              <w:left w:val="single" w:color="auto" w:sz="4" w:space="0"/>
              <w:bottom w:val="single" w:color="auto" w:sz="4" w:space="0"/>
              <w:right w:val="single" w:color="auto" w:sz="4" w:space="0"/>
            </w:tcBorders>
            <w:vAlign w:val="center"/>
          </w:tcPr>
          <w:p>
            <w:pPr>
              <w:suppressLineNumbers/>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6</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textAlignment w:val="center"/>
              <w:rPr>
                <w:rFonts w:ascii="Times New Roman" w:hAnsi="Times New Roman" w:cs="Times New Roman"/>
                <w:color w:val="000000"/>
                <w:sz w:val="18"/>
                <w:szCs w:val="18"/>
                <w:lang w:eastAsia="zh-CN"/>
              </w:rPr>
            </w:pPr>
            <w:r>
              <w:rPr>
                <w:rFonts w:ascii="Times New Roman" w:hAnsi="Times New Roman"/>
                <w:color w:val="000000"/>
                <w:sz w:val="18"/>
                <w:szCs w:val="18"/>
                <w:lang w:eastAsia="zh-CN"/>
              </w:rPr>
              <w:t>Установление пониженной ставки по налогу с целью поддержки сельскохозяйственных производителей</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textAlignment w:val="center"/>
              <w:rPr>
                <w:rFonts w:ascii="Times New Roman" w:hAnsi="Times New Roman" w:cs="Times New Roman"/>
                <w:color w:val="000000"/>
                <w:lang w:val="en-US" w:eastAsia="zh-CN"/>
              </w:rPr>
            </w:pPr>
            <w:r>
              <w:rPr>
                <w:rFonts w:ascii="Times New Roman" w:hAnsi="Times New Roman" w:cs="Times New Roman"/>
                <w:color w:val="000000"/>
                <w:sz w:val="18"/>
                <w:szCs w:val="18"/>
                <w:lang w:val="en-US" w:eastAsia="zh-CN"/>
              </w:rPr>
              <w:t>Поддержка сельскохозяйственных производителей</w:t>
            </w:r>
          </w:p>
        </w:tc>
        <w:tc>
          <w:tcPr>
            <w:tcW w:w="782"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0,00</w:t>
            </w:r>
          </w:p>
        </w:tc>
        <w:tc>
          <w:tcPr>
            <w:tcW w:w="1225"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0</w:t>
            </w:r>
          </w:p>
        </w:tc>
        <w:tc>
          <w:tcPr>
            <w:tcW w:w="1300"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0/ не востребован</w:t>
            </w:r>
          </w:p>
        </w:tc>
        <w:tc>
          <w:tcPr>
            <w:tcW w:w="1112"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0</w:t>
            </w:r>
          </w:p>
        </w:tc>
        <w:tc>
          <w:tcPr>
            <w:tcW w:w="1863"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Налоговый расход не результативный</w:t>
            </w:r>
          </w:p>
        </w:tc>
        <w:tc>
          <w:tcPr>
            <w:tcW w:w="1575"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eastAsia="Times New Roman" w:cs="Times New Roman"/>
                <w:kern w:val="2"/>
                <w:sz w:val="18"/>
                <w:szCs w:val="18"/>
                <w:lang w:eastAsia="zh-CN"/>
              </w:rPr>
              <w:t xml:space="preserve">Налоговый расход  относительно экономный </w:t>
            </w:r>
          </w:p>
        </w:tc>
        <w:tc>
          <w:tcPr>
            <w:tcW w:w="1350"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Х</w:t>
            </w:r>
          </w:p>
        </w:tc>
        <w:tc>
          <w:tcPr>
            <w:tcW w:w="1600"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Налоговый расход недостаточно эффективный</w:t>
            </w:r>
          </w:p>
        </w:tc>
      </w:tr>
      <w:tr>
        <w:tblPrEx>
          <w:tblCellMar>
            <w:top w:w="0" w:type="dxa"/>
            <w:left w:w="10" w:type="dxa"/>
            <w:bottom w:w="0" w:type="dxa"/>
            <w:right w:w="10" w:type="dxa"/>
          </w:tblCellMar>
        </w:tblPrEx>
        <w:tc>
          <w:tcPr>
            <w:tcW w:w="15075" w:type="dxa"/>
            <w:gridSpan w:val="11"/>
            <w:tcBorders>
              <w:top w:val="single" w:color="auto" w:sz="4" w:space="0"/>
              <w:left w:val="single" w:color="auto" w:sz="4" w:space="0"/>
              <w:bottom w:val="single" w:color="auto" w:sz="4" w:space="0"/>
              <w:right w:val="single" w:color="auto" w:sz="4" w:space="0"/>
            </w:tcBorders>
            <w:vAlign w:val="center"/>
          </w:tcPr>
          <w:p>
            <w:pPr>
              <w:numPr>
                <w:ilvl w:val="0"/>
                <w:numId w:val="3"/>
              </w:numPr>
              <w:suppressAutoHyphens/>
              <w:spacing w:after="0" w:line="240" w:lineRule="auto"/>
              <w:jc w:val="center"/>
              <w:rPr>
                <w:rFonts w:ascii="Times New Roman" w:hAnsi="Times New Roman" w:cs="Times New Roman"/>
                <w:color w:val="000000"/>
                <w:sz w:val="18"/>
                <w:szCs w:val="18"/>
              </w:rPr>
            </w:pPr>
            <w:r>
              <w:rPr>
                <w:rFonts w:ascii="Times New Roman" w:hAnsi="Times New Roman" w:eastAsia="Times New Roman" w:cs="Times New Roman"/>
                <w:b/>
                <w:kern w:val="2"/>
                <w:sz w:val="24"/>
                <w:szCs w:val="24"/>
                <w:lang w:eastAsia="zh-CN"/>
              </w:rPr>
              <w:t>Стратегия социально - экономического развития Белоярского района до 2030 года (куратор - Отдел по информационным ресурсам и защите информации администрации Белоярского района)</w:t>
            </w:r>
          </w:p>
        </w:tc>
      </w:tr>
      <w:tr>
        <w:tblPrEx>
          <w:tblCellMar>
            <w:top w:w="0" w:type="dxa"/>
            <w:left w:w="10" w:type="dxa"/>
            <w:bottom w:w="0" w:type="dxa"/>
            <w:right w:w="10" w:type="dxa"/>
          </w:tblCellMar>
        </w:tblPrEx>
        <w:tc>
          <w:tcPr>
            <w:tcW w:w="284" w:type="dxa"/>
            <w:tcBorders>
              <w:top w:val="single" w:color="auto" w:sz="4" w:space="0"/>
              <w:left w:val="single" w:color="auto" w:sz="4" w:space="0"/>
              <w:bottom w:val="single" w:color="auto" w:sz="4" w:space="0"/>
              <w:right w:val="single" w:color="auto" w:sz="4" w:space="0"/>
            </w:tcBorders>
            <w:vAlign w:val="center"/>
          </w:tcPr>
          <w:p>
            <w:pPr>
              <w:suppressLineNumbers/>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7</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textAlignment w:val="center"/>
              <w:rPr>
                <w:rFonts w:ascii="Times New Roman" w:hAnsi="Times New Roman"/>
                <w:color w:val="000000"/>
                <w:sz w:val="18"/>
                <w:szCs w:val="18"/>
                <w:lang w:eastAsia="zh-CN"/>
              </w:rPr>
            </w:pPr>
            <w:r>
              <w:rPr>
                <w:rFonts w:ascii="Times New Roman" w:hAnsi="Times New Roman"/>
                <w:color w:val="000000"/>
                <w:sz w:val="18"/>
                <w:szCs w:val="18"/>
                <w:lang w:eastAsia="zh-CN"/>
              </w:rPr>
              <w:t>Установление пониженной ставки для владельцев земельных участков, предназначенных для обеспечения деятельности организаций и (или) объектов связи, радиовещания, телевидения, информатики</w:t>
            </w:r>
          </w:p>
        </w:tc>
        <w:tc>
          <w:tcPr>
            <w:tcW w:w="1984" w:type="dxa"/>
            <w:tcBorders>
              <w:top w:val="single" w:color="auto" w:sz="4" w:space="0"/>
              <w:left w:val="single" w:color="auto" w:sz="4" w:space="0"/>
              <w:bottom w:val="single" w:color="auto" w:sz="4" w:space="0"/>
              <w:right w:val="single" w:color="auto" w:sz="4" w:space="0"/>
            </w:tcBorders>
            <w:shd w:val="clear" w:color="auto" w:fill="auto"/>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olor w:val="000000"/>
                <w:sz w:val="18"/>
                <w:szCs w:val="18"/>
                <w:lang w:eastAsia="zh-CN"/>
              </w:rPr>
              <w:t>Снижение налоговой нагрузки для объектов связи и центров обработки данных с целью обеспечения ускоренного развития отрасли информационных технологий в Российской Федерации (Указ Президента Российской Федерации от 2 марта 2022 года № 83 «О мерах по обеспечению ускоренного развития отрасли информационных технологий в Российской Федерации»)</w:t>
            </w:r>
          </w:p>
        </w:tc>
        <w:tc>
          <w:tcPr>
            <w:tcW w:w="782"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0</w:t>
            </w:r>
          </w:p>
        </w:tc>
        <w:tc>
          <w:tcPr>
            <w:tcW w:w="1225"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0</w:t>
            </w:r>
          </w:p>
        </w:tc>
        <w:tc>
          <w:tcPr>
            <w:tcW w:w="1300"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0/ не востребован</w:t>
            </w:r>
          </w:p>
        </w:tc>
        <w:tc>
          <w:tcPr>
            <w:tcW w:w="1112"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0</w:t>
            </w:r>
          </w:p>
        </w:tc>
        <w:tc>
          <w:tcPr>
            <w:tcW w:w="1863"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Налоговый расход не результативный</w:t>
            </w:r>
          </w:p>
        </w:tc>
        <w:tc>
          <w:tcPr>
            <w:tcW w:w="1575"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eastAsia="Times New Roman" w:cs="Times New Roman"/>
                <w:kern w:val="2"/>
                <w:sz w:val="18"/>
                <w:szCs w:val="18"/>
                <w:lang w:eastAsia="zh-CN"/>
              </w:rPr>
              <w:t xml:space="preserve">Налоговый расход  относительно экономный </w:t>
            </w:r>
          </w:p>
        </w:tc>
        <w:tc>
          <w:tcPr>
            <w:tcW w:w="1350"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lang w:eastAsia="zh-CN"/>
              </w:rPr>
            </w:pPr>
            <w:r>
              <w:rPr>
                <w:rFonts w:ascii="Times New Roman" w:hAnsi="Times New Roman" w:cs="Times New Roman"/>
                <w:color w:val="000000"/>
                <w:sz w:val="18"/>
                <w:szCs w:val="18"/>
              </w:rPr>
              <w:t>Х</w:t>
            </w:r>
          </w:p>
        </w:tc>
        <w:tc>
          <w:tcPr>
            <w:tcW w:w="1600"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Налоговый расход недостаточно эффективный</w:t>
            </w:r>
          </w:p>
        </w:tc>
      </w:tr>
    </w:tbl>
    <w:p>
      <w:pPr>
        <w:spacing w:after="0" w:line="240" w:lineRule="auto"/>
        <w:rPr>
          <w:sz w:val="16"/>
          <w:szCs w:val="16"/>
        </w:rPr>
      </w:pPr>
    </w:p>
    <w:p>
      <w:pPr>
        <w:spacing w:after="0" w:line="240" w:lineRule="auto"/>
        <w:rPr>
          <w:rFonts w:ascii="Times New Roman" w:hAnsi="Times New Roman" w:eastAsia="Calibri" w:cs="Times New Roman"/>
          <w:sz w:val="16"/>
          <w:szCs w:val="16"/>
          <w:lang w:eastAsia="zh-CN"/>
        </w:rPr>
      </w:pPr>
    </w:p>
    <w:p>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Таблица 2</w:t>
      </w:r>
    </w:p>
    <w:p>
      <w:pPr>
        <w:spacing w:after="0" w:line="240" w:lineRule="auto"/>
        <w:rPr>
          <w:b/>
        </w:rPr>
      </w:pPr>
      <w:r>
        <w:rPr>
          <w:rFonts w:ascii="Times New Roman" w:hAnsi="Times New Roman" w:cs="Times New Roman"/>
          <w:b/>
          <w:sz w:val="24"/>
          <w:szCs w:val="24"/>
        </w:rPr>
        <w:t>2. По налогу на имущество физических лиц:</w:t>
      </w:r>
    </w:p>
    <w:tbl>
      <w:tblPr>
        <w:tblStyle w:val="3"/>
        <w:tblW w:w="15075" w:type="dxa"/>
        <w:tblInd w:w="-162" w:type="dxa"/>
        <w:tblLayout w:type="fixed"/>
        <w:tblCellMar>
          <w:top w:w="0" w:type="dxa"/>
          <w:left w:w="10" w:type="dxa"/>
          <w:bottom w:w="0" w:type="dxa"/>
          <w:right w:w="10" w:type="dxa"/>
        </w:tblCellMar>
      </w:tblPr>
      <w:tblGrid>
        <w:gridCol w:w="284"/>
        <w:gridCol w:w="1928"/>
        <w:gridCol w:w="1875"/>
        <w:gridCol w:w="963"/>
        <w:gridCol w:w="1225"/>
        <w:gridCol w:w="1300"/>
        <w:gridCol w:w="1112"/>
        <w:gridCol w:w="1863"/>
        <w:gridCol w:w="1575"/>
        <w:gridCol w:w="1350"/>
        <w:gridCol w:w="1600"/>
      </w:tblGrid>
      <w:tr>
        <w:tblPrEx>
          <w:tblCellMar>
            <w:top w:w="0" w:type="dxa"/>
            <w:left w:w="10" w:type="dxa"/>
            <w:bottom w:w="0" w:type="dxa"/>
            <w:right w:w="10" w:type="dxa"/>
          </w:tblCellMar>
        </w:tblPrEx>
        <w:trPr>
          <w:tblHeader/>
        </w:trPr>
        <w:tc>
          <w:tcPr>
            <w:tcW w:w="284"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val="en-US" w:eastAsia="zh-CN" w:bidi="hi-IN"/>
              </w:rPr>
              <w:t>№</w:t>
            </w:r>
            <w:r>
              <w:rPr>
                <w:rFonts w:ascii="Times New Roman" w:hAnsi="Times New Roman" w:eastAsia="Times New Roman" w:cs="Times New Roman"/>
                <w:b/>
                <w:kern w:val="2"/>
                <w:sz w:val="14"/>
                <w:szCs w:val="14"/>
                <w:lang w:val="en-US" w:eastAsia="zh-CN" w:bidi="hi-IN"/>
              </w:rPr>
              <w:t xml:space="preserve"> </w:t>
            </w:r>
            <w:r>
              <w:rPr>
                <w:rFonts w:ascii="Times New Roman" w:hAnsi="Times New Roman" w:eastAsia="SimSun" w:cs="Mangal"/>
                <w:b/>
                <w:kern w:val="2"/>
                <w:sz w:val="14"/>
                <w:szCs w:val="14"/>
                <w:lang w:val="en-US" w:eastAsia="zh-CN" w:bidi="hi-IN"/>
              </w:rPr>
              <w:t>п/п</w:t>
            </w:r>
          </w:p>
        </w:tc>
        <w:tc>
          <w:tcPr>
            <w:tcW w:w="1928"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Наименование налогового расхода (налоговых льгот, освобождений и иных преференций)</w:t>
            </w:r>
          </w:p>
        </w:tc>
        <w:tc>
          <w:tcPr>
            <w:tcW w:w="187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Цели предоставления налоговых расходов</w:t>
            </w:r>
          </w:p>
        </w:tc>
        <w:tc>
          <w:tcPr>
            <w:tcW w:w="963"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Объем налоговых расходов (тыс. руб.)</w:t>
            </w:r>
          </w:p>
        </w:tc>
        <w:tc>
          <w:tcPr>
            <w:tcW w:w="122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Численность плательщиков налогов, воспользовавшихся налоговым расходом (единиц)</w:t>
            </w:r>
          </w:p>
        </w:tc>
        <w:tc>
          <w:tcPr>
            <w:tcW w:w="1300"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 xml:space="preserve">Востребованность плательщиками предоставленных налоговых расходов (коэффициент востребованности &gt; 0,3)                                 </w:t>
            </w:r>
          </w:p>
        </w:tc>
        <w:tc>
          <w:tcPr>
            <w:tcW w:w="111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 xml:space="preserve">Коэффициент эффективности вклада  (&gt; 0)                                  </w:t>
            </w:r>
          </w:p>
        </w:tc>
        <w:tc>
          <w:tcPr>
            <w:tcW w:w="1863"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Оценка вклада предусмотренного налогового расхода в изменение значения показателя (индикатора) достижения целей государственных программ автономного округа</w:t>
            </w:r>
          </w:p>
        </w:tc>
        <w:tc>
          <w:tcPr>
            <w:tcW w:w="157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Результат сравнительного анализа результативности</w:t>
            </w:r>
          </w:p>
        </w:tc>
        <w:tc>
          <w:tcPr>
            <w:tcW w:w="1350"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Бюджетный эффект (самоокупаемость)             (тыс. руб.)</w:t>
            </w:r>
          </w:p>
          <w:p>
            <w:pPr>
              <w:suppressAutoHyphens/>
              <w:spacing w:after="0" w:line="240" w:lineRule="auto"/>
              <w:jc w:val="center"/>
              <w:rPr>
                <w:rFonts w:ascii="Times New Roman" w:hAnsi="Times New Roman" w:eastAsia="SimSun" w:cs="Mangal"/>
                <w:b/>
                <w:kern w:val="2"/>
                <w:sz w:val="14"/>
                <w:szCs w:val="14"/>
                <w:lang w:eastAsia="zh-CN" w:bidi="hi-IN"/>
              </w:rPr>
            </w:pPr>
            <w:r>
              <w:rPr>
                <w:rFonts w:ascii="Times New Roman" w:hAnsi="Times New Roman" w:eastAsia="Times New Roman" w:cs="Times New Roman"/>
                <w:b/>
                <w:kern w:val="2"/>
                <w:sz w:val="14"/>
                <w:szCs w:val="14"/>
                <w:lang w:eastAsia="zh-CN" w:bidi="hi-IN"/>
              </w:rPr>
              <w:t xml:space="preserve"> </w:t>
            </w:r>
            <w:r>
              <w:rPr>
                <w:rFonts w:ascii="Times New Roman" w:hAnsi="Times New Roman" w:eastAsia="SimSun" w:cs="Mangal"/>
                <w:b/>
                <w:kern w:val="2"/>
                <w:sz w:val="14"/>
                <w:szCs w:val="14"/>
                <w:lang w:eastAsia="zh-CN" w:bidi="hi-IN"/>
              </w:rPr>
              <w:t>(&gt; 0)</w:t>
            </w:r>
            <w:r>
              <w:rPr>
                <w:rFonts w:ascii="Times New Roman" w:hAnsi="Times New Roman" w:eastAsia="SimSun" w:cs="Mangal"/>
                <w:b/>
                <w:kern w:val="2"/>
                <w:sz w:val="14"/>
                <w:szCs w:val="14"/>
                <w:vertAlign w:val="superscript"/>
                <w:lang w:eastAsia="zh-CN" w:bidi="hi-IN"/>
              </w:rPr>
              <w:footnoteReference w:id="1"/>
            </w:r>
          </w:p>
        </w:tc>
        <w:tc>
          <w:tcPr>
            <w:tcW w:w="1600"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Результат оценки эффективности налогового расхода</w:t>
            </w:r>
          </w:p>
          <w:p>
            <w:pPr>
              <w:suppressAutoHyphens/>
              <w:spacing w:after="0" w:line="240" w:lineRule="auto"/>
              <w:jc w:val="center"/>
              <w:rPr>
                <w:rFonts w:ascii="Times New Roman" w:hAnsi="Times New Roman" w:eastAsia="SimSun" w:cs="Mangal"/>
                <w:b/>
                <w:kern w:val="2"/>
                <w:sz w:val="14"/>
                <w:szCs w:val="14"/>
                <w:lang w:val="en-US" w:eastAsia="zh-CN" w:bidi="hi-IN"/>
              </w:rPr>
            </w:pPr>
          </w:p>
        </w:tc>
      </w:tr>
      <w:tr>
        <w:tblPrEx>
          <w:tblCellMar>
            <w:top w:w="0" w:type="dxa"/>
            <w:left w:w="10" w:type="dxa"/>
            <w:bottom w:w="0" w:type="dxa"/>
            <w:right w:w="10" w:type="dxa"/>
          </w:tblCellMar>
        </w:tblPrEx>
        <w:trPr>
          <w:trHeight w:val="264" w:hRule="atLeast"/>
          <w:tblHeader/>
        </w:trPr>
        <w:tc>
          <w:tcPr>
            <w:tcW w:w="284"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1</w:t>
            </w:r>
          </w:p>
        </w:tc>
        <w:tc>
          <w:tcPr>
            <w:tcW w:w="1928"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2</w:t>
            </w:r>
          </w:p>
        </w:tc>
        <w:tc>
          <w:tcPr>
            <w:tcW w:w="1875"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3</w:t>
            </w:r>
          </w:p>
        </w:tc>
        <w:tc>
          <w:tcPr>
            <w:tcW w:w="963"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4</w:t>
            </w:r>
          </w:p>
        </w:tc>
        <w:tc>
          <w:tcPr>
            <w:tcW w:w="1225"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5</w:t>
            </w:r>
          </w:p>
        </w:tc>
        <w:tc>
          <w:tcPr>
            <w:tcW w:w="1300"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6</w:t>
            </w:r>
          </w:p>
        </w:tc>
        <w:tc>
          <w:tcPr>
            <w:tcW w:w="1112"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7</w:t>
            </w:r>
          </w:p>
        </w:tc>
        <w:tc>
          <w:tcPr>
            <w:tcW w:w="1863"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8</w:t>
            </w:r>
          </w:p>
        </w:tc>
        <w:tc>
          <w:tcPr>
            <w:tcW w:w="1575"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9</w:t>
            </w:r>
          </w:p>
        </w:tc>
        <w:tc>
          <w:tcPr>
            <w:tcW w:w="1350"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10</w:t>
            </w:r>
          </w:p>
        </w:tc>
        <w:tc>
          <w:tcPr>
            <w:tcW w:w="1600" w:type="dxa"/>
            <w:tcBorders>
              <w:top w:val="nil"/>
              <w:left w:val="single" w:color="000000" w:sz="4" w:space="0"/>
              <w:bottom w:val="single" w:color="000000" w:sz="4" w:space="0"/>
              <w:right w:val="single" w:color="000000" w:sz="4" w:space="0"/>
            </w:tcBorders>
          </w:tcPr>
          <w:p>
            <w:p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11</w:t>
            </w:r>
          </w:p>
        </w:tc>
      </w:tr>
      <w:tr>
        <w:tblPrEx>
          <w:tblCellMar>
            <w:top w:w="0" w:type="dxa"/>
            <w:left w:w="10" w:type="dxa"/>
            <w:bottom w:w="0" w:type="dxa"/>
            <w:right w:w="10" w:type="dxa"/>
          </w:tblCellMar>
        </w:tblPrEx>
        <w:trPr>
          <w:trHeight w:val="216" w:hRule="atLeast"/>
        </w:trPr>
        <w:tc>
          <w:tcPr>
            <w:tcW w:w="15075" w:type="dxa"/>
            <w:gridSpan w:val="11"/>
            <w:tcBorders>
              <w:top w:val="nil"/>
              <w:left w:val="single" w:color="000000" w:sz="4" w:space="0"/>
              <w:bottom w:val="single" w:color="000000" w:sz="4" w:space="0"/>
              <w:right w:val="single" w:color="000000" w:sz="4" w:space="0"/>
            </w:tcBorders>
            <w:tcMar>
              <w:top w:w="55" w:type="dxa"/>
              <w:left w:w="55" w:type="dxa"/>
              <w:bottom w:w="55" w:type="dxa"/>
              <w:right w:w="55" w:type="dxa"/>
            </w:tcMar>
          </w:tcPr>
          <w:p>
            <w:pPr>
              <w:numPr>
                <w:ilvl w:val="0"/>
                <w:numId w:val="4"/>
              </w:numPr>
              <w:suppressAutoHyphens/>
              <w:spacing w:after="0" w:line="240" w:lineRule="auto"/>
              <w:jc w:val="center"/>
              <w:rPr>
                <w:rFonts w:ascii="Times New Roman" w:hAnsi="Times New Roman" w:eastAsia="Times New Roman" w:cs="Times New Roman"/>
                <w:b/>
                <w:kern w:val="2"/>
                <w:sz w:val="20"/>
                <w:szCs w:val="20"/>
                <w:lang w:eastAsia="zh-CN"/>
              </w:rPr>
            </w:pPr>
            <w:r>
              <w:rPr>
                <w:rFonts w:ascii="Times New Roman" w:hAnsi="Times New Roman" w:eastAsia="Times New Roman" w:cs="Times New Roman"/>
                <w:b/>
                <w:kern w:val="2"/>
                <w:sz w:val="24"/>
                <w:szCs w:val="24"/>
                <w:lang w:eastAsia="zh-CN"/>
              </w:rPr>
              <w:t xml:space="preserve">Муниципальная программа Белоярского района </w:t>
            </w:r>
            <w:r>
              <w:rPr>
                <w:rFonts w:ascii="Times New Roman" w:hAnsi="Times New Roman" w:eastAsia="Times New Roman"/>
                <w:b/>
                <w:kern w:val="2"/>
                <w:sz w:val="24"/>
                <w:szCs w:val="24"/>
                <w:lang w:eastAsia="zh-CN"/>
              </w:rPr>
              <w:t xml:space="preserve">«Развитие социальной политики на территории Белоярского района» </w:t>
            </w:r>
            <w:r>
              <w:rPr>
                <w:rFonts w:ascii="Times New Roman" w:hAnsi="Times New Roman" w:eastAsia="Times New Roman" w:cs="Times New Roman"/>
                <w:b/>
                <w:kern w:val="2"/>
                <w:sz w:val="24"/>
                <w:szCs w:val="24"/>
                <w:lang w:eastAsia="zh-CN"/>
              </w:rPr>
              <w:t>(куратор - Управление по охране труда и социальной политике администрации Белоярского района)</w:t>
            </w:r>
          </w:p>
        </w:tc>
      </w:tr>
      <w:tr>
        <w:tblPrEx>
          <w:tblCellMar>
            <w:top w:w="0" w:type="dxa"/>
            <w:left w:w="10" w:type="dxa"/>
            <w:bottom w:w="0" w:type="dxa"/>
            <w:right w:w="10" w:type="dxa"/>
          </w:tblCellMar>
        </w:tblPrEx>
        <w:trPr>
          <w:trHeight w:val="1288" w:hRule="atLeast"/>
        </w:trPr>
        <w:tc>
          <w:tcPr>
            <w:tcW w:w="284" w:type="dxa"/>
            <w:tcBorders>
              <w:top w:val="nil"/>
              <w:left w:val="single" w:color="000000" w:sz="4" w:space="0"/>
              <w:bottom w:val="single" w:color="000000" w:sz="4" w:space="0"/>
              <w:right w:val="nil"/>
            </w:tcBorders>
            <w:vAlign w:val="center"/>
          </w:tcPr>
          <w:p>
            <w:pPr>
              <w:suppressLineNumbers/>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1</w:t>
            </w:r>
          </w:p>
        </w:tc>
        <w:tc>
          <w:tcPr>
            <w:tcW w:w="192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color w:val="000000"/>
                <w:sz w:val="18"/>
                <w:szCs w:val="18"/>
              </w:rPr>
            </w:pPr>
            <w:r>
              <w:rPr>
                <w:rFonts w:ascii="Times New Roman" w:hAnsi="Times New Roman"/>
                <w:color w:val="000000"/>
                <w:sz w:val="18"/>
                <w:szCs w:val="18"/>
              </w:rPr>
              <w:t>Освобождение от уплаты налога несовершеннолетних владельцев долей имущества</w:t>
            </w:r>
          </w:p>
        </w:tc>
        <w:tc>
          <w:tcPr>
            <w:tcW w:w="187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color w:val="000000"/>
                <w:sz w:val="18"/>
                <w:szCs w:val="18"/>
              </w:rPr>
            </w:pPr>
            <w:r>
              <w:rPr>
                <w:rFonts w:ascii="Times New Roman" w:hAnsi="Times New Roman"/>
                <w:color w:val="000000"/>
                <w:sz w:val="18"/>
                <w:szCs w:val="18"/>
              </w:rPr>
              <w:t>Социальная поддержка отдельных категорий граждан, повышения качества жизни жителей района</w:t>
            </w:r>
          </w:p>
        </w:tc>
        <w:tc>
          <w:tcPr>
            <w:tcW w:w="963"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color w:val="000000"/>
                <w:kern w:val="2"/>
                <w:sz w:val="18"/>
                <w:szCs w:val="18"/>
                <w:lang w:eastAsia="zh-CN" w:bidi="hi-IN"/>
              </w:rPr>
            </w:pPr>
            <w:r>
              <w:rPr>
                <w:rFonts w:ascii="Times New Roman" w:hAnsi="Times New Roman" w:eastAsia="SimSun" w:cs="Times New Roman"/>
                <w:color w:val="000000"/>
                <w:kern w:val="2"/>
                <w:sz w:val="18"/>
                <w:szCs w:val="18"/>
                <w:lang w:eastAsia="zh-CN" w:bidi="hi-IN"/>
              </w:rPr>
              <w:t>0,00</w:t>
            </w:r>
          </w:p>
        </w:tc>
        <w:tc>
          <w:tcPr>
            <w:tcW w:w="1225"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0</w:t>
            </w:r>
          </w:p>
        </w:tc>
        <w:tc>
          <w:tcPr>
            <w:tcW w:w="1300"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 не востребован</w:t>
            </w:r>
          </w:p>
        </w:tc>
        <w:tc>
          <w:tcPr>
            <w:tcW w:w="1112"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w:t>
            </w:r>
          </w:p>
        </w:tc>
        <w:tc>
          <w:tcPr>
            <w:tcW w:w="1863"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 результативный</w:t>
            </w:r>
          </w:p>
        </w:tc>
        <w:tc>
          <w:tcPr>
            <w:tcW w:w="1575"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 xml:space="preserve">Налоговый расход  относительно экономный </w:t>
            </w:r>
          </w:p>
        </w:tc>
        <w:tc>
          <w:tcPr>
            <w:tcW w:w="1350"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Х</w:t>
            </w:r>
          </w:p>
        </w:tc>
        <w:tc>
          <w:tcPr>
            <w:tcW w:w="1600" w:type="dxa"/>
            <w:tcBorders>
              <w:top w:val="nil"/>
              <w:left w:val="single" w:color="000000" w:sz="4" w:space="0"/>
              <w:bottom w:val="single" w:color="000000"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недостаточно эффективный</w:t>
            </w:r>
          </w:p>
        </w:tc>
      </w:tr>
      <w:tr>
        <w:tblPrEx>
          <w:tblCellMar>
            <w:top w:w="0" w:type="dxa"/>
            <w:left w:w="10" w:type="dxa"/>
            <w:bottom w:w="0" w:type="dxa"/>
            <w:right w:w="10" w:type="dxa"/>
          </w:tblCellMar>
        </w:tblPrEx>
        <w:trPr>
          <w:trHeight w:val="652" w:hRule="atLeast"/>
        </w:trPr>
        <w:tc>
          <w:tcPr>
            <w:tcW w:w="15075" w:type="dxa"/>
            <w:gridSpan w:val="11"/>
            <w:tcBorders>
              <w:top w:val="nil"/>
              <w:left w:val="single" w:color="000000" w:sz="4" w:space="0"/>
              <w:bottom w:val="single" w:color="auto" w:sz="4" w:space="0"/>
              <w:right w:val="single" w:color="000000" w:sz="4" w:space="0"/>
            </w:tcBorders>
            <w:vAlign w:val="center"/>
          </w:tcPr>
          <w:p>
            <w:pPr>
              <w:numPr>
                <w:ilvl w:val="0"/>
                <w:numId w:val="5"/>
              </w:num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b/>
                <w:kern w:val="2"/>
                <w:sz w:val="24"/>
                <w:szCs w:val="24"/>
                <w:lang w:eastAsia="zh-CN"/>
              </w:rPr>
              <w:t>Муниципальная программа Белоярского района «Развитие малого и среднего предпринимательства и туризма в Белоярском районе» (куратор - Управление природопользования, сельского хозяйства и развития предпринимательства администрации Белоярского района)</w:t>
            </w:r>
          </w:p>
        </w:tc>
      </w:tr>
      <w:tr>
        <w:tblPrEx>
          <w:tblCellMar>
            <w:top w:w="0" w:type="dxa"/>
            <w:left w:w="10" w:type="dxa"/>
            <w:bottom w:w="0" w:type="dxa"/>
            <w:right w:w="10" w:type="dxa"/>
          </w:tblCellMar>
        </w:tblPrEx>
        <w:trPr>
          <w:trHeight w:val="253" w:hRule="atLeast"/>
        </w:trPr>
        <w:tc>
          <w:tcPr>
            <w:tcW w:w="284" w:type="dxa"/>
            <w:tcBorders>
              <w:top w:val="nil"/>
              <w:left w:val="single" w:color="000000" w:sz="4" w:space="0"/>
              <w:bottom w:val="single" w:color="auto" w:sz="4" w:space="0"/>
              <w:right w:val="nil"/>
            </w:tcBorders>
            <w:vAlign w:val="center"/>
          </w:tcPr>
          <w:p>
            <w:pPr>
              <w:suppressLineNumbers/>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2</w:t>
            </w:r>
          </w:p>
        </w:tc>
        <w:tc>
          <w:tcPr>
            <w:tcW w:w="1928" w:type="dxa"/>
            <w:tcBorders>
              <w:top w:val="nil"/>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color w:val="000000"/>
                <w:sz w:val="18"/>
                <w:szCs w:val="18"/>
              </w:rPr>
            </w:pPr>
            <w:r>
              <w:rPr>
                <w:rFonts w:ascii="Times New Roman" w:hAnsi="Times New Roman"/>
                <w:color w:val="000000"/>
                <w:sz w:val="18"/>
                <w:szCs w:val="18"/>
              </w:rPr>
              <w:t xml:space="preserve">Установление пониженной ставки для индивидуальных предпринимателей - владельцев объектов недвижимого имущества,  включённого в перечень, определяемый в соответствии с пунктом 7 статьи 378.2 Налогового кодекса Российской Федерации </w:t>
            </w:r>
            <w:r>
              <w:rPr>
                <w:rFonts w:ascii="Times New Roman" w:hAnsi="Times New Roman"/>
                <w:color w:val="000000"/>
                <w:sz w:val="18"/>
                <w:szCs w:val="18"/>
                <w:lang w:eastAsia="zh-CN"/>
              </w:rPr>
              <w:t>и  объектов налогообложения, предусмотренных абзацем вторым пункта 10 статьи 378.2 Налогового</w:t>
            </w:r>
            <w:r>
              <w:rPr>
                <w:rFonts w:ascii="Times New Roman" w:hAnsi="Times New Roman" w:eastAsia="Times New Roman"/>
                <w:kern w:val="2"/>
                <w:sz w:val="24"/>
                <w:szCs w:val="24"/>
                <w:lang w:eastAsia="zh-CN"/>
              </w:rPr>
              <w:t xml:space="preserve"> </w:t>
            </w:r>
            <w:r>
              <w:rPr>
                <w:rFonts w:ascii="Times New Roman" w:hAnsi="Times New Roman"/>
                <w:color w:val="000000"/>
                <w:sz w:val="18"/>
                <w:szCs w:val="18"/>
                <w:lang w:eastAsia="zh-CN"/>
              </w:rPr>
              <w:t>кодекса</w:t>
            </w:r>
            <w:r>
              <w:rPr>
                <w:rFonts w:ascii="Times New Roman" w:hAnsi="Times New Roman" w:eastAsia="Times New Roman"/>
                <w:kern w:val="2"/>
                <w:sz w:val="24"/>
                <w:szCs w:val="24"/>
                <w:lang w:eastAsia="zh-CN"/>
              </w:rPr>
              <w:t xml:space="preserve"> </w:t>
            </w:r>
            <w:r>
              <w:rPr>
                <w:rFonts w:ascii="Times New Roman" w:hAnsi="Times New Roman" w:eastAsia="Times New Roman"/>
                <w:kern w:val="2"/>
                <w:sz w:val="20"/>
                <w:szCs w:val="20"/>
                <w:lang w:eastAsia="zh-CN"/>
              </w:rPr>
              <w:t>Российской Федерации, а также  объектов налогообложения, кадастровая стоимость каждого из которых превышает 300 миллионов рублей</w:t>
            </w:r>
          </w:p>
        </w:tc>
        <w:tc>
          <w:tcPr>
            <w:tcW w:w="1875" w:type="dxa"/>
            <w:tcBorders>
              <w:top w:val="nil"/>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color w:val="000000"/>
                <w:sz w:val="18"/>
                <w:szCs w:val="18"/>
              </w:rPr>
            </w:pPr>
            <w:r>
              <w:rPr>
                <w:rFonts w:ascii="Times New Roman" w:hAnsi="Times New Roman"/>
                <w:color w:val="000000"/>
                <w:sz w:val="18"/>
                <w:szCs w:val="18"/>
              </w:rPr>
              <w:t>Поддержка субъектов малого предпринимательства, развития предпринимательской деятельности</w:t>
            </w:r>
          </w:p>
        </w:tc>
        <w:tc>
          <w:tcPr>
            <w:tcW w:w="9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color w:val="000000"/>
                <w:kern w:val="2"/>
                <w:sz w:val="18"/>
                <w:szCs w:val="18"/>
                <w:lang w:eastAsia="zh-CN" w:bidi="hi-IN"/>
              </w:rPr>
            </w:pPr>
            <w:r>
              <w:rPr>
                <w:rFonts w:ascii="Times New Roman" w:hAnsi="Times New Roman" w:eastAsia="SimSun" w:cs="Times New Roman"/>
                <w:color w:val="000000"/>
                <w:kern w:val="2"/>
                <w:sz w:val="18"/>
                <w:szCs w:val="18"/>
                <w:lang w:eastAsia="zh-CN" w:bidi="hi-IN"/>
              </w:rPr>
              <w:t>0,00</w:t>
            </w:r>
          </w:p>
        </w:tc>
        <w:tc>
          <w:tcPr>
            <w:tcW w:w="122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0</w:t>
            </w:r>
          </w:p>
        </w:tc>
        <w:tc>
          <w:tcPr>
            <w:tcW w:w="130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 не востребован</w:t>
            </w:r>
          </w:p>
        </w:tc>
        <w:tc>
          <w:tcPr>
            <w:tcW w:w="1112"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w:t>
            </w:r>
          </w:p>
        </w:tc>
        <w:tc>
          <w:tcPr>
            <w:tcW w:w="18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 результативный</w:t>
            </w:r>
          </w:p>
        </w:tc>
        <w:tc>
          <w:tcPr>
            <w:tcW w:w="157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 xml:space="preserve">Налоговый расход  относительно экономный </w:t>
            </w:r>
          </w:p>
        </w:tc>
        <w:tc>
          <w:tcPr>
            <w:tcW w:w="135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Х</w:t>
            </w:r>
          </w:p>
        </w:tc>
        <w:tc>
          <w:tcPr>
            <w:tcW w:w="1600" w:type="dxa"/>
            <w:tcBorders>
              <w:top w:val="nil"/>
              <w:left w:val="single" w:color="000000" w:sz="4" w:space="0"/>
              <w:bottom w:val="single" w:color="auto"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недостаточно эффективный</w:t>
            </w:r>
          </w:p>
        </w:tc>
      </w:tr>
    </w:tbl>
    <w:p>
      <w:pPr>
        <w:spacing w:after="0" w:line="240" w:lineRule="auto"/>
        <w:jc w:val="center"/>
      </w:pPr>
    </w:p>
    <w:p>
      <w:pPr>
        <w:jc w:val="center"/>
      </w:pPr>
      <w:r>
        <w:t>____________</w:t>
      </w:r>
    </w:p>
    <w:sectPr>
      <w:footnotePr>
        <w:pos w:val="beneathText"/>
      </w:footnotePr>
      <w:pgSz w:w="16838" w:h="11906" w:orient="landscape"/>
      <w:pgMar w:top="1080" w:right="780" w:bottom="1080" w:left="1135"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40" w:lineRule="auto"/>
      </w:pPr>
    </w:p>
  </w:footnote>
  <w:footnote w:type="continuationSeparator" w:id="5">
    <w:p>
      <w:pPr>
        <w:spacing w:before="0" w:after="0" w:line="240" w:lineRule="auto"/>
      </w:pPr>
    </w:p>
  </w:footnote>
  <w:footnote w:id="0">
    <w:p>
      <w:pPr>
        <w:pStyle w:val="5"/>
        <w:jc w:val="both"/>
        <w:rPr>
          <w:b/>
          <w:bCs/>
          <w:color w:val="0000FF"/>
          <w:u w:val="single"/>
        </w:rPr>
      </w:pPr>
    </w:p>
  </w:footnote>
  <w:footnote w:id="1">
    <w:p>
      <w:pPr>
        <w:pStyle w:val="5"/>
        <w:jc w:val="both"/>
        <w:rPr>
          <w:rFonts w:eastAsiaTheme="minorHAnsi"/>
          <w:b/>
          <w:kern w:val="0"/>
          <w:sz w:val="24"/>
          <w:szCs w:val="24"/>
          <w:lang w:val="ru-RU" w:eastAsia="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8"/>
        <w:szCs w:val="28"/>
      </w:rPr>
    </w:pPr>
  </w:p>
  <w:p>
    <w:pPr>
      <w:pStyle w:val="6"/>
      <w:jc w:val="center"/>
      <w:rPr>
        <w:sz w:val="28"/>
        <w:szCs w:val="28"/>
      </w:rPr>
    </w:pPr>
  </w:p>
  <w:p>
    <w:pPr>
      <w:pStyle w:val="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332C5"/>
    <w:multiLevelType w:val="singleLevel"/>
    <w:tmpl w:val="E80332C5"/>
    <w:lvl w:ilvl="0" w:tentative="0">
      <w:start w:val="1"/>
      <w:numFmt w:val="decimal"/>
      <w:suff w:val="space"/>
      <w:lvlText w:val="%1."/>
      <w:lvlJc w:val="left"/>
      <w:rPr>
        <w:b/>
        <w:i/>
      </w:rPr>
    </w:lvl>
  </w:abstractNum>
  <w:abstractNum w:abstractNumId="1">
    <w:nsid w:val="15AF6AA7"/>
    <w:multiLevelType w:val="singleLevel"/>
    <w:tmpl w:val="15AF6AA7"/>
    <w:lvl w:ilvl="0" w:tentative="0">
      <w:start w:val="1"/>
      <w:numFmt w:val="decimal"/>
      <w:suff w:val="space"/>
      <w:lvlText w:val="%1."/>
      <w:lvlJc w:val="left"/>
      <w:pPr>
        <w:ind w:left="440"/>
      </w:pPr>
    </w:lvl>
  </w:abstractNum>
  <w:abstractNum w:abstractNumId="2">
    <w:nsid w:val="1702A3C8"/>
    <w:multiLevelType w:val="singleLevel"/>
    <w:tmpl w:val="1702A3C8"/>
    <w:lvl w:ilvl="0" w:tentative="0">
      <w:start w:val="2"/>
      <w:numFmt w:val="decimal"/>
      <w:suff w:val="space"/>
      <w:lvlText w:val="%1."/>
      <w:lvlJc w:val="left"/>
      <w:pPr>
        <w:ind w:left="220"/>
      </w:pPr>
      <w:rPr>
        <w:rFonts w:hint="default"/>
        <w:b/>
        <w:bCs/>
      </w:rPr>
    </w:lvl>
  </w:abstractNum>
  <w:abstractNum w:abstractNumId="3">
    <w:nsid w:val="6A4CCADC"/>
    <w:multiLevelType w:val="singleLevel"/>
    <w:tmpl w:val="6A4CCADC"/>
    <w:lvl w:ilvl="0" w:tentative="0">
      <w:start w:val="3"/>
      <w:numFmt w:val="decimal"/>
      <w:suff w:val="space"/>
      <w:lvlText w:val="%1."/>
      <w:lvlJc w:val="left"/>
      <w:pPr>
        <w:ind w:left="220"/>
      </w:pPr>
      <w:rPr>
        <w:rFonts w:hint="default"/>
        <w:b/>
        <w:bCs/>
        <w:sz w:val="21"/>
        <w:szCs w:val="21"/>
      </w:rPr>
    </w:lvl>
  </w:abstractNum>
  <w:abstractNum w:abstractNumId="4">
    <w:nsid w:val="7D09DD59"/>
    <w:multiLevelType w:val="singleLevel"/>
    <w:tmpl w:val="7D09DD59"/>
    <w:lvl w:ilvl="0" w:tentative="0">
      <w:start w:val="5"/>
      <w:numFmt w:val="decimal"/>
      <w:suff w:val="space"/>
      <w:lvlText w:val="%1."/>
      <w:lvlJc w:val="left"/>
      <w:rPr>
        <w:rFonts w:hint="default"/>
        <w:i/>
        <w:iCs/>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noPunctuationKerning w:val="1"/>
  <w:characterSpacingControl w:val="doNotCompress"/>
  <w:footnotePr>
    <w:pos w:val="beneathText"/>
    <w:footnote w:id="4"/>
    <w:footnote w:id="5"/>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86"/>
    <w:rsid w:val="00002474"/>
    <w:rsid w:val="00034B2D"/>
    <w:rsid w:val="000C10A4"/>
    <w:rsid w:val="000E17FB"/>
    <w:rsid w:val="00102FEC"/>
    <w:rsid w:val="00104290"/>
    <w:rsid w:val="00104F89"/>
    <w:rsid w:val="00112164"/>
    <w:rsid w:val="00121A52"/>
    <w:rsid w:val="001310B0"/>
    <w:rsid w:val="0013321A"/>
    <w:rsid w:val="00165FF7"/>
    <w:rsid w:val="0018476B"/>
    <w:rsid w:val="001865DA"/>
    <w:rsid w:val="0019223F"/>
    <w:rsid w:val="001B1569"/>
    <w:rsid w:val="001D5DD1"/>
    <w:rsid w:val="001D5EBC"/>
    <w:rsid w:val="00210184"/>
    <w:rsid w:val="002373A3"/>
    <w:rsid w:val="002609B0"/>
    <w:rsid w:val="002767DD"/>
    <w:rsid w:val="00285CC1"/>
    <w:rsid w:val="002B0F96"/>
    <w:rsid w:val="002C548C"/>
    <w:rsid w:val="002D580C"/>
    <w:rsid w:val="002F5A38"/>
    <w:rsid w:val="0031615F"/>
    <w:rsid w:val="0031637F"/>
    <w:rsid w:val="003558D0"/>
    <w:rsid w:val="00367019"/>
    <w:rsid w:val="00387E1A"/>
    <w:rsid w:val="003B6E7F"/>
    <w:rsid w:val="003E3165"/>
    <w:rsid w:val="00400B9E"/>
    <w:rsid w:val="00406E91"/>
    <w:rsid w:val="004320BC"/>
    <w:rsid w:val="00462D46"/>
    <w:rsid w:val="004844A5"/>
    <w:rsid w:val="004A47B6"/>
    <w:rsid w:val="004B5067"/>
    <w:rsid w:val="005051DA"/>
    <w:rsid w:val="00513113"/>
    <w:rsid w:val="005239C9"/>
    <w:rsid w:val="00534FEC"/>
    <w:rsid w:val="00535A97"/>
    <w:rsid w:val="00542593"/>
    <w:rsid w:val="00544064"/>
    <w:rsid w:val="00595280"/>
    <w:rsid w:val="005F40D1"/>
    <w:rsid w:val="0064666B"/>
    <w:rsid w:val="00656263"/>
    <w:rsid w:val="006D0A19"/>
    <w:rsid w:val="006D1E77"/>
    <w:rsid w:val="006F0E9F"/>
    <w:rsid w:val="0074349C"/>
    <w:rsid w:val="00746CED"/>
    <w:rsid w:val="00752786"/>
    <w:rsid w:val="007751FF"/>
    <w:rsid w:val="007971E6"/>
    <w:rsid w:val="007A2BAA"/>
    <w:rsid w:val="007D378A"/>
    <w:rsid w:val="007E4F10"/>
    <w:rsid w:val="007E5510"/>
    <w:rsid w:val="00804E6D"/>
    <w:rsid w:val="00816E8B"/>
    <w:rsid w:val="0084247E"/>
    <w:rsid w:val="0084368D"/>
    <w:rsid w:val="00854151"/>
    <w:rsid w:val="00863315"/>
    <w:rsid w:val="00896751"/>
    <w:rsid w:val="008B0696"/>
    <w:rsid w:val="0091076C"/>
    <w:rsid w:val="0096250A"/>
    <w:rsid w:val="00983026"/>
    <w:rsid w:val="00995FB3"/>
    <w:rsid w:val="00996191"/>
    <w:rsid w:val="009975DC"/>
    <w:rsid w:val="009F13B2"/>
    <w:rsid w:val="00A17152"/>
    <w:rsid w:val="00A56848"/>
    <w:rsid w:val="00AC6386"/>
    <w:rsid w:val="00AD7E71"/>
    <w:rsid w:val="00B47E87"/>
    <w:rsid w:val="00BA7497"/>
    <w:rsid w:val="00BD0B13"/>
    <w:rsid w:val="00C10CB1"/>
    <w:rsid w:val="00C300D6"/>
    <w:rsid w:val="00C56EF5"/>
    <w:rsid w:val="00C6739A"/>
    <w:rsid w:val="00C8556F"/>
    <w:rsid w:val="00C85D05"/>
    <w:rsid w:val="00CE2AF1"/>
    <w:rsid w:val="00CE51F4"/>
    <w:rsid w:val="00CE7C97"/>
    <w:rsid w:val="00D10C86"/>
    <w:rsid w:val="00D35C37"/>
    <w:rsid w:val="00D55187"/>
    <w:rsid w:val="00D57646"/>
    <w:rsid w:val="00D70BFD"/>
    <w:rsid w:val="00D740E3"/>
    <w:rsid w:val="00D8169B"/>
    <w:rsid w:val="00D84743"/>
    <w:rsid w:val="00DA22CE"/>
    <w:rsid w:val="00E41F75"/>
    <w:rsid w:val="00E76847"/>
    <w:rsid w:val="00E76FDB"/>
    <w:rsid w:val="00EB043E"/>
    <w:rsid w:val="00EC0FB2"/>
    <w:rsid w:val="00ED0635"/>
    <w:rsid w:val="00F02126"/>
    <w:rsid w:val="00F32636"/>
    <w:rsid w:val="00F35F62"/>
    <w:rsid w:val="00F37582"/>
    <w:rsid w:val="00F92B29"/>
    <w:rsid w:val="00FA0257"/>
    <w:rsid w:val="00FA19DB"/>
    <w:rsid w:val="00FA3933"/>
    <w:rsid w:val="035C3621"/>
    <w:rsid w:val="08263BCE"/>
    <w:rsid w:val="0A313ED7"/>
    <w:rsid w:val="0FCC118B"/>
    <w:rsid w:val="10741CD8"/>
    <w:rsid w:val="1D691BAA"/>
    <w:rsid w:val="2202254F"/>
    <w:rsid w:val="25A31840"/>
    <w:rsid w:val="285C0647"/>
    <w:rsid w:val="296D4D6F"/>
    <w:rsid w:val="2A2B6DC2"/>
    <w:rsid w:val="2B7956B2"/>
    <w:rsid w:val="2D7D53BA"/>
    <w:rsid w:val="2DC90C20"/>
    <w:rsid w:val="2E92651A"/>
    <w:rsid w:val="31716ADE"/>
    <w:rsid w:val="35422940"/>
    <w:rsid w:val="359102F6"/>
    <w:rsid w:val="37B75C5B"/>
    <w:rsid w:val="39183ABF"/>
    <w:rsid w:val="3A7613BA"/>
    <w:rsid w:val="3C9F2951"/>
    <w:rsid w:val="3E3F3D5A"/>
    <w:rsid w:val="414D1A59"/>
    <w:rsid w:val="42105636"/>
    <w:rsid w:val="446D2CAA"/>
    <w:rsid w:val="489F3C58"/>
    <w:rsid w:val="4A58274B"/>
    <w:rsid w:val="4BC16F93"/>
    <w:rsid w:val="4C4859BD"/>
    <w:rsid w:val="4DD62421"/>
    <w:rsid w:val="4EC46E4B"/>
    <w:rsid w:val="4F167DB2"/>
    <w:rsid w:val="4FAC524D"/>
    <w:rsid w:val="54EF50D9"/>
    <w:rsid w:val="55890581"/>
    <w:rsid w:val="56626E56"/>
    <w:rsid w:val="58501C42"/>
    <w:rsid w:val="59FD4A77"/>
    <w:rsid w:val="5A9A7390"/>
    <w:rsid w:val="5E275133"/>
    <w:rsid w:val="63C447EE"/>
    <w:rsid w:val="645B06BC"/>
    <w:rsid w:val="645E5B15"/>
    <w:rsid w:val="68A375CB"/>
    <w:rsid w:val="68DC6F55"/>
    <w:rsid w:val="69B650F2"/>
    <w:rsid w:val="6E431F7B"/>
    <w:rsid w:val="77F65736"/>
    <w:rsid w:val="7801122D"/>
    <w:rsid w:val="7B5E2936"/>
    <w:rsid w:val="7B5E5DE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Segoe UI" w:hAnsi="Segoe UI" w:cs="Segoe UI"/>
      <w:sz w:val="18"/>
      <w:szCs w:val="18"/>
    </w:rPr>
  </w:style>
  <w:style w:type="paragraph" w:styleId="5">
    <w:name w:val="footnote text"/>
    <w:basedOn w:val="1"/>
    <w:semiHidden/>
    <w:unhideWhenUsed/>
    <w:qFormat/>
    <w:uiPriority w:val="0"/>
    <w:pPr>
      <w:suppressAutoHyphens/>
      <w:spacing w:after="0" w:line="240" w:lineRule="auto"/>
    </w:pPr>
    <w:rPr>
      <w:rFonts w:ascii="Times New Roman" w:hAnsi="Times New Roman" w:eastAsia="Times New Roman" w:cs="Times New Roman"/>
      <w:kern w:val="2"/>
      <w:sz w:val="20"/>
      <w:szCs w:val="20"/>
      <w:lang w:val="zh-CN" w:eastAsia="zh-CN"/>
    </w:rPr>
  </w:style>
  <w:style w:type="paragraph" w:styleId="6">
    <w:name w:val="header"/>
    <w:basedOn w:val="1"/>
    <w:link w:val="11"/>
    <w:semiHidden/>
    <w:unhideWhenUsed/>
    <w:qFormat/>
    <w:uiPriority w:val="99"/>
    <w:pPr>
      <w:tabs>
        <w:tab w:val="center" w:pos="4677"/>
        <w:tab w:val="right" w:pos="9355"/>
      </w:tabs>
      <w:spacing w:after="0" w:line="240" w:lineRule="auto"/>
    </w:pPr>
  </w:style>
  <w:style w:type="paragraph" w:styleId="7">
    <w:name w:val="footer"/>
    <w:basedOn w:val="1"/>
    <w:link w:val="12"/>
    <w:semiHidden/>
    <w:unhideWhenUsed/>
    <w:qFormat/>
    <w:uiPriority w:val="99"/>
    <w:pPr>
      <w:tabs>
        <w:tab w:val="center" w:pos="4677"/>
        <w:tab w:val="right" w:pos="9355"/>
      </w:tabs>
      <w:spacing w:after="0" w:line="240" w:lineRule="auto"/>
    </w:pPr>
  </w:style>
  <w:style w:type="paragraph" w:styleId="8">
    <w:name w:val="Normal (Web)"/>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character" w:customStyle="1" w:styleId="9">
    <w:name w:val="Текст выноски Знак"/>
    <w:basedOn w:val="2"/>
    <w:link w:val="4"/>
    <w:semiHidden/>
    <w:qFormat/>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customStyle="1" w:styleId="11">
    <w:name w:val="Верхний колонтитул Знак"/>
    <w:basedOn w:val="2"/>
    <w:link w:val="6"/>
    <w:semiHidden/>
    <w:qFormat/>
    <w:uiPriority w:val="99"/>
  </w:style>
  <w:style w:type="character" w:customStyle="1" w:styleId="12">
    <w:name w:val="Нижний колонтитул Знак"/>
    <w:basedOn w:val="2"/>
    <w:link w:val="7"/>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11</Pages>
  <Words>4019</Words>
  <Characters>22914</Characters>
  <Lines>190</Lines>
  <Paragraphs>53</Paragraphs>
  <TotalTime>486</TotalTime>
  <ScaleCrop>false</ScaleCrop>
  <LinksUpToDate>false</LinksUpToDate>
  <CharactersWithSpaces>26880</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2021-10-16T01:31:00Z</dcterms:created>
  <dc:creator>orlovaa9048851878@gmail.com</dc:creator>
  <cp:lastModifiedBy>KrutovskayaOS</cp:lastModifiedBy>
  <cp:lastPrinted>2024-09-23T12:39:18Z</cp:lastPrinted>
  <dcterms:modified xsi:type="dcterms:W3CDTF">2024-09-23T12:40:27Z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y fmtid="{D5CDD505-2E9C-101B-9397-08002B2CF9AE}" pid="3" name="ICV">
    <vt:lpwstr>C7807B8C6C3E4B4BA08B9FC6757C7338</vt:lpwstr>
  </property>
</Properties>
</file>