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firstLine="720"/>
        <w:jc w:val="both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</w:pPr>
      <w:r>
        <w:rPr>
          <w:sz w:val="24"/>
          <w:szCs w:val="24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0"/>
        <w:jc w:val="center"/>
        <w:keepNext/>
        <w:rPr>
          <w:b/>
          <w:sz w:val="24"/>
          <w:szCs w:val="24"/>
        </w:rPr>
        <w:outlineLvl w:val="2"/>
      </w:pPr>
      <w:r>
        <w:rPr>
          <w:b/>
        </w:rPr>
        <w:t xml:space="preserve">ХАНТЫ-МАНСИЙСКИЙ АВТОНОМНЫЙ ОКРУГ – ЮГРА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</w:pPr>
      <w:r>
        <w:t xml:space="preserve">                                                                               </w:t>
      </w:r>
      <w:r/>
    </w:p>
    <w:p>
      <w:pPr>
        <w:pStyle w:val="830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0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0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0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ПОСТАНОВЛЕНИЕ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0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0"/>
        <w:tabs>
          <w:tab w:val="left" w:pos="7788" w:leader="none"/>
          <w:tab w:val="left" w:pos="8292" w:leader="none"/>
        </w:tabs>
        <w:rPr>
          <w:b/>
        </w:rPr>
      </w:pPr>
      <w:r>
        <w:tab/>
      </w:r>
      <w:r>
        <w:rPr>
          <w:b/>
        </w:rPr>
      </w:r>
      <w:r>
        <w:rPr>
          <w:b/>
        </w:rPr>
      </w:r>
    </w:p>
    <w:p>
      <w:pPr>
        <w:pStyle w:val="830"/>
        <w:jc w:val="both"/>
        <w:rPr>
          <w:sz w:val="24"/>
        </w:rPr>
      </w:pPr>
      <w:r>
        <w:rPr>
          <w:sz w:val="24"/>
        </w:rPr>
        <w:t xml:space="preserve">От________________2025 года                                                                                        № _____</w:t>
      </w:r>
      <w:r>
        <w:rPr>
          <w:sz w:val="24"/>
        </w:rPr>
      </w:r>
      <w:r>
        <w:rPr>
          <w:sz w:val="24"/>
        </w:rPr>
      </w:r>
    </w:p>
    <w:p>
      <w:pPr>
        <w:pStyle w:val="83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  <w:t xml:space="preserve">О внесении изменений в приложение к постановлению администрации 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  <w:t xml:space="preserve">Белоярского района от 5 декабря 2024 года № 849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ind w:firstLine="709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tabs>
          <w:tab w:val="left" w:pos="453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«Муниципальная программа Белоярского района «Развитие физической культуры, спорта и мол</w:t>
      </w:r>
      <w:r>
        <w:rPr>
          <w:sz w:val="24"/>
          <w:szCs w:val="24"/>
        </w:rPr>
        <w:t xml:space="preserve">одежной политики» (далее – Программа) к постановлению администрации Белоярского района от 5 декабря 2024 года № 849 «Об утверждении муниципальной программы Белоярского района «Развитие физической культуры, спорта и молодежной политики» следующие изменения: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sz w:val="24"/>
          <w:szCs w:val="24"/>
        </w:rPr>
        <w:t xml:space="preserve">Развитие физической культуры, спорта и молодежной политики»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43" w:firstLine="720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4"/>
        <w:gridCol w:w="4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5074" w:type="dxa"/>
            <w:vAlign w:val="top"/>
            <w:textDirection w:val="lrTb"/>
            <w:noWrap w:val="false"/>
          </w:tcPr>
          <w:p>
            <w:pPr>
              <w:pStyle w:val="830"/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1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6</w:t>
            </w:r>
            <w:r>
              <w:rPr>
                <w:sz w:val="22"/>
                <w:szCs w:val="22"/>
                <w:lang w:val="en-US" w:eastAsia="en-US"/>
              </w:rPr>
              <w:t xml:space="preserve">6</w:t>
            </w:r>
            <w:r>
              <w:rPr>
                <w:sz w:val="22"/>
                <w:szCs w:val="22"/>
                <w:lang w:val="en-US" w:eastAsia="en-US"/>
              </w:rPr>
              <w:t xml:space="preserve">8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7</w:t>
            </w:r>
            <w:r>
              <w:rPr>
                <w:sz w:val="22"/>
                <w:szCs w:val="22"/>
                <w:lang w:val="en-US" w:eastAsia="en-US"/>
              </w:rPr>
              <w:t xml:space="preserve">5</w:t>
            </w:r>
            <w:r>
              <w:rPr>
                <w:sz w:val="22"/>
                <w:szCs w:val="22"/>
                <w:lang w:val="en-US" w:eastAsia="en-US"/>
              </w:rPr>
              <w:t xml:space="preserve">5</w:t>
            </w:r>
            <w:r>
              <w:rPr>
                <w:sz w:val="22"/>
                <w:szCs w:val="22"/>
                <w:lang w:eastAsia="en-US"/>
              </w:rPr>
              <w:t xml:space="preserve">,9 тысяч рублей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30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раздел 2 «Показатели муниципальной программы» Паспорта муниципальной программы изложить в редакции согласно приложению 1 к настоящему постановлению;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раздел 3 «Структура муниципальной программы» Паспорта муниципальной программы изложить в редакции согласно приложению 2 к настоящему постановлению;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3 к настоящему постановлению.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jc w:val="left"/>
        <w:rPr>
          <w:szCs w:val="24"/>
        </w:rPr>
        <w:sectPr>
          <w:footnotePr/>
          <w:endnotePr/>
          <w:type w:val="nextPage"/>
          <w:pgSz w:w="11906" w:h="16838" w:orient="portrait"/>
          <w:pgMar w:top="567" w:right="850" w:bottom="426" w:left="1701" w:header="708" w:footer="708" w:gutter="0"/>
          <w:cols w:num="1" w:sep="0" w:space="1701" w:equalWidth="1"/>
          <w:docGrid w:linePitch="360"/>
        </w:sect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___________2025 года №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6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2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30"/>
        <w:ind w:left="1276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«Развитие физической культуры, спорта и молодежной политики»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«2. Показатели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735" w:type="dxa"/>
        <w:tblInd w:w="-567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5"/>
        <w:gridCol w:w="2406"/>
        <w:gridCol w:w="1055"/>
        <w:gridCol w:w="907"/>
        <w:gridCol w:w="579"/>
        <w:gridCol w:w="702"/>
        <w:gridCol w:w="703"/>
        <w:gridCol w:w="703"/>
        <w:gridCol w:w="703"/>
        <w:gridCol w:w="702"/>
        <w:gridCol w:w="621"/>
        <w:gridCol w:w="1938"/>
        <w:gridCol w:w="1402"/>
        <w:gridCol w:w="2789"/>
      </w:tblGrid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№ п/п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Наименование показателя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Единица измерения (по ОКЕИ)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/>
            <w:bookmarkStart w:id="0" w:name="RANGE!D13"/>
            <w:r>
              <w:rPr>
                <w:bCs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34" w:type="dxa"/>
            <w:vAlign w:val="center"/>
            <w:textDirection w:val="lrTb"/>
            <w:noWrap w:val="false"/>
          </w:tcPr>
          <w:p>
            <w:pPr>
              <w:pStyle w:val="830"/>
              <w:ind w:right="-5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Значение показателя по годам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/>
            <w:bookmarkStart w:id="1" w:name="RANGE!L13"/>
            <w:r>
              <w:rPr>
                <w:bCs/>
                <w:sz w:val="18"/>
                <w:szCs w:val="18"/>
              </w:rPr>
              <w:t xml:space="preserve">Документ</w:t>
            </w:r>
            <w:bookmarkEnd w:id="1"/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/>
            <w:bookmarkStart w:id="2" w:name="RANGE!M13"/>
            <w:r>
              <w:rPr>
                <w:bCs/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значение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год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2025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2026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2027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2028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2029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2030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center"/>
            <w:textDirection w:val="lrTb"/>
            <w:noWrap w:val="false"/>
          </w:tcPr>
          <w:p>
            <w:pPr>
              <w:pStyle w:val="83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3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pStyle w:val="83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7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8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9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11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12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13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14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pStyle w:val="8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«Создание условий для развития физической культуры, массового спорта и молодежной политики на территории Белоярского района»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2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Доля граждан, систематически занимающихся физической культурой и спортом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ind w:left="-84" w:firstLine="84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73,8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564-п «О государственной программе Ханты-Мансийского автономного округа - Югры «Развитие физической культуры и спорта»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-</w:t>
            </w:r>
            <w:r>
              <w:rPr>
                <w:rFonts w:eastAsia="SimSun"/>
                <w:sz w:val="18"/>
                <w:szCs w:val="18"/>
              </w:rPr>
              <w:t xml:space="preserve">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pStyle w:val="830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- снижение к 2030 году</w:t>
            </w:r>
            <w:r>
              <w:rPr>
                <w:rFonts w:eastAsia="SimSun"/>
                <w:sz w:val="18"/>
                <w:szCs w:val="18"/>
              </w:rPr>
              <w:t xml:space="preserve">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- повышение к 2030 году уровня удовлетворенности граждан условиями для занятий физической культурой и спортом.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202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107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10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564-п «О государственной программе Ханты-Мансийского автономного округа - Югры «Развитие физической культуры и спорта»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-</w:t>
            </w:r>
            <w:r>
              <w:rPr>
                <w:rFonts w:eastAsia="SimSun"/>
                <w:sz w:val="18"/>
                <w:szCs w:val="18"/>
              </w:rPr>
              <w:t xml:space="preserve">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pStyle w:val="830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- снижение к 2030 году</w:t>
            </w:r>
            <w:r>
              <w:rPr>
                <w:rFonts w:eastAsia="SimSun"/>
                <w:sz w:val="18"/>
                <w:szCs w:val="18"/>
              </w:rPr>
              <w:t xml:space="preserve">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- повышение к 2030 году уровня удовлетворенности граждан условиями для занятий физической культурой и спортом.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Численность детей, вовлеченных в дополнительные образовательные программы в сфере физической культуры и спорта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чел.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870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867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обеспечение к 2030 году функционирован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color w:val="000000"/>
                <w:sz w:val="18"/>
                <w:szCs w:val="18"/>
                <w:lang w:val="en-US" w:eastAsia="zh-CN"/>
              </w:rPr>
            </w:r>
            <w:r>
              <w:rPr>
                <w:color w:val="000000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Доля молодых людей, вовлеченных в добровольческую и общественную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деятельнос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98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37,7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8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39,3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8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40,9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98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42,5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98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44,1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982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45,0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83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увеличение к 2030 году доли молодых людей, вовлеченных в добровольческую и общественную деятельность, не менее чем до 45 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5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 xml:space="preserve">Доля молодых людей, участвующих в проектах и программах, направленных на патриотической воспитание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2024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70,06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70,96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71,86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72,76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73,66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75</w:t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6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</w:t>
            </w:r>
            <w:r>
              <w:rPr>
                <w:color w:val="000000"/>
                <w:sz w:val="18"/>
                <w:szCs w:val="18"/>
              </w:rPr>
              <w:t xml:space="preserve"> духовно-нравственных  ценностей,  в том числе в проекты и программы, направленные на патриотическое воспитание, в добровольческую и общественную деятельность.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2023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15,07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15,27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15,46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15,65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15,85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16,14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jc w:val="left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Соглашение о реализации регионального проекта «Мы вместе» (Воспитание гармонично</w:t>
            </w:r>
            <w:r/>
          </w:p>
          <w:p>
            <w:pPr>
              <w:jc w:val="left"/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развитой личности) на территории Белоярского района от 01.08.2025 </w:t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</w:p>
          <w:p>
            <w:pPr>
              <w:jc w:val="left"/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№ 2025-Ю20017-10</w:t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982"/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18"/>
                <w:szCs w:val="18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  <w:p>
            <w:pPr>
              <w:pStyle w:val="830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 xml:space="preserve">Доля молодых людей, вовлеченных в мероприятия, направленные на профессиональное развитие.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2023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33,28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41,62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49,97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58,31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66,66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75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Постановление Правительства ХМАО - Югры от 10.11.2023 № 546-п «О государственной программе Ханты-Мансийского автономного округа - Югры «Развитие гражданского общества»</w:t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  <w:r>
              <w:rPr>
                <w:rFonts w:eastAsia="SimSun"/>
                <w:sz w:val="18"/>
                <w:szCs w:val="18"/>
              </w:rPr>
            </w:r>
            <w:r>
              <w:rPr>
                <w:rFonts w:eastAsia="SimSun"/>
                <w:sz w:val="18"/>
                <w:szCs w:val="18"/>
              </w:rPr>
            </w:r>
          </w:p>
          <w:p>
            <w:pPr>
              <w:pStyle w:val="830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</w:rPr>
              <w:t xml:space="preserve">- увеличение к 2030 году доли молодых людей, верящих в возможности самореализации в России, не менее чем до 85 процентов.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8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</w:rPr>
              <w:t xml:space="preserve">Охват молодежи мероприятиями, проводимыми на базе инфраструктуры молодежной политики.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%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0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2023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7,19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14,15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21,12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rFonts w:eastAsia="SimSun"/>
                <w:color w:val="000000"/>
                <w:sz w:val="18"/>
                <w:szCs w:val="18"/>
                <w:lang w:val="ru-RU" w:eastAsia="zh-CN" w:bidi="ar"/>
              </w:rPr>
              <w:t xml:space="preserve">8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,08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35,04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42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jc w:val="left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Соглашение о реализации регионального проекта «Россия - страна возможностей (Ханты-</w:t>
            </w:r>
            <w:r/>
          </w:p>
          <w:p>
            <w:pPr>
              <w:pStyle w:val="830"/>
              <w:jc w:val="left"/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Мансийский автономный округ - Югра)» на территории Белоярского муниципального</w:t>
            </w:r>
            <w:r/>
          </w:p>
          <w:p>
            <w:pPr>
              <w:pStyle w:val="830"/>
              <w:jc w:val="left"/>
              <w:rPr>
                <w:rFonts w:eastAsia="SimSun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lang w:eastAsia="zh-CN" w:bidi="ar"/>
              </w:rPr>
              <w:t xml:space="preserve">района от 19.06.2025</w:t>
            </w:r>
            <w:r>
              <w:rPr>
                <w:rFonts w:eastAsia="SimSun"/>
                <w:sz w:val="18"/>
                <w:szCs w:val="18"/>
                <w:highlight w:val="none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highlight w:val="none"/>
                <w:lang w:eastAsia="zh-CN" w:bidi="ar"/>
              </w:rPr>
            </w:r>
          </w:p>
          <w:p>
            <w:pPr>
              <w:jc w:val="left"/>
              <w:rPr>
                <w:rFonts w:eastAsia="SimSun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  <w:highlight w:val="none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highlight w:val="none"/>
                <w:lang w:eastAsia="zh-CN" w:bidi="ar"/>
              </w:rPr>
              <w:t xml:space="preserve">№ 2025-Ю10025-18</w:t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830"/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imSun"/>
                <w:sz w:val="18"/>
                <w:szCs w:val="18"/>
              </w:rPr>
              <w:t xml:space="preserve"> увеличение к 2030 году доли молодых людей, верящих в возможности самореализации в России, не менее чем до 85 процентов.</w:t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eastAsia="zh-CN" w:bidi="ar"/>
              </w:rPr>
              <w:t xml:space="preserve">Количество отдохнувших детей в возрасте от 6 до 17 лет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чел.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525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КДМ,ФКиС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pageBreakBefore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2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___________2025 года №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6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30"/>
        <w:ind w:left="1276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«Развитие физической культуры, спорта и молодежной политики»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276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«3. </w:t>
      </w:r>
      <w:r>
        <w:rPr>
          <w:bCs/>
          <w:sz w:val="24"/>
          <w:szCs w:val="24"/>
        </w:rPr>
        <w:t xml:space="preserve">Структура муниципальной программы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tbl>
      <w:tblPr>
        <w:tblW w:w="15668" w:type="dxa"/>
        <w:tblInd w:w="-4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4245"/>
        <w:gridCol w:w="7"/>
        <w:gridCol w:w="23"/>
        <w:gridCol w:w="6345"/>
        <w:gridCol w:w="11"/>
        <w:gridCol w:w="4111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№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п/п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Задачи структурного элемента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Связь с показателями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«Развитие физической культуры и массового спорта»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«Развитие физической культуры и массового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реализацию: КДМ,ФКиС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84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развития массового спорта, успешного выступления спортсменов Белоярского района на официальных окружных, всероссийских и международных спортивных соревнованиях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Созданы условия</w:t>
            </w:r>
            <w:r>
              <w:rPr>
                <w:color w:val="000000"/>
                <w:sz w:val="22"/>
                <w:szCs w:val="22"/>
              </w:rPr>
              <w:t xml:space="preserve"> для удовлетворения потребности населения Белоярского района в оказании услуг в сфере физической культуры и спорта на базе муниципального автономного учреждения физической культуры и спорта  Белоярского района «Дворец спорта» (далее - МАУ «Дворец спорта»).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Обеспечено участие спортивных сборных команд Белоярского района в  выездных спортивно-массовых мероприятиях.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Оказана поддержка образовательным организациям, реализующих дополнительные образовательные программы спортивной подготовки (на подготовку спортивного резерва).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сети спортивных объектов шаговой доступности.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Оказано содействие в участии нем</w:t>
            </w:r>
            <w:r>
              <w:rPr>
                <w:sz w:val="22"/>
                <w:szCs w:val="22"/>
              </w:rPr>
              <w:t xml:space="preserve">униципальных организаций, в том числе социально ориентированных некоммерческих организаций, и социальных предпринимателей  в организации и проведении официальных физкультурных (физкультурно-оздоровительных) мероприятий и официальных спортивных мероприятий.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граждан, систематически занимающихся физической культурой и спортом.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 «Развитие системы дополнительного образования в сфере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реализацию: КДМ,ФКиС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развития массового спорта, успешного выступления спортсменов Белоярского района на официальных окружных, всероссийских и международных спортивных соревнованиях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Созданы </w:t>
            </w:r>
            <w:r>
              <w:rPr>
                <w:color w:val="000000"/>
                <w:sz w:val="22"/>
                <w:szCs w:val="22"/>
              </w:rPr>
              <w:t xml:space="preserve">условия для реализации дополнительных общеразвивающих программ в сфере физической культуры и спорта на базе  муниципального бюджетного учреждения дополнительного образования Белоярского района «Спортивная школа г.Белоярский» (далее- МБУДО СШ г.Белоярский»)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Численность детей, вовлеченных в дополнительные образовательные программы в сфере физической культуры и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 «Организация и осуществление мероприятий по работе с детьми и молодежью»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проект ХМАО-Югры «Россия- страна возможностей»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5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за реализацию: КДМ,ФКиС,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культуре администрации Белоярского района,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5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равных возможностей для самореализации детей и молодежи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6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Мероприятиями по профессиональной самореализации охвачено не менее 75% молодых людей, проживающих на территории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молодых людей, вовлеченных в мероприятия направленные на профессиональное развитие.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Охват молодежи мероприятиями, проводимыми на базе инфраструктуры молодежной политики.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проект ХМАО-Югры «Мы вместе»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5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за реализацию: КДМ,ФКиС,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культуре администрации Белоярского района,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Белоярского района.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5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5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Реализованы мероприятия по работе с детьми и молодежью духовно-нравственной, культурно- исторической, патриотической направленности.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spacing w:val="-2"/>
                <w:sz w:val="22"/>
                <w:szCs w:val="22"/>
                <w:highlight w:val="none"/>
              </w:rPr>
            </w:pPr>
            <w:r>
              <w:rPr>
                <w:spacing w:val="-2"/>
                <w:sz w:val="22"/>
                <w:szCs w:val="22"/>
              </w:rPr>
              <w:t xml:space="preserve">Совместно с региональным отд</w:t>
            </w:r>
            <w:r>
              <w:rPr>
                <w:spacing w:val="-2"/>
                <w:sz w:val="22"/>
                <w:szCs w:val="22"/>
              </w:rPr>
              <w:t xml:space="preserve">е</w:t>
            </w:r>
            <w:r>
              <w:rPr>
                <w:spacing w:val="-2"/>
                <w:sz w:val="22"/>
                <w:szCs w:val="22"/>
              </w:rPr>
              <w:t xml:space="preserve">лением Общероссийского общественно-государственного движения детей и молодежи «Движение первых» проведены мероприятия, направленные на увеличение вовлеченности отдельных категорий граждан и организаций в систему патриотического воспитания детей и молодежи.</w:t>
            </w: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pacing w:val="-2"/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2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молодых людей, участвующих в проектах и программах, направленных на патриотической воспитание.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Доля молодых семей, </w:t>
            </w:r>
            <w:r>
              <w:rPr>
                <w:sz w:val="22"/>
                <w:szCs w:val="22"/>
              </w:rPr>
              <w:t xml:space="preserve">в том числе молодых семей, имеющих детей, участвующих в мероприятиях по продвижению традиционных  духовно-нравственных  ценностей,  в том числе в проекты и программы, направленные на патриотическое воспитание, в добровольческую и общественную деятельность.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молодых людей, вовлеченных в добровольческую и общественную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деятельнос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ть.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«Организация и осуществление мероприятий по работе с детьми и молодежью»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Ответственные за реализацию: КДМ,ФКиС, Комитет по культуре администрации Белоярского района, Комитет по образованию администрации Белоярского района.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условий для </w:t>
            </w:r>
            <w:r>
              <w:rPr>
                <w:color w:val="000000"/>
                <w:sz w:val="22"/>
                <w:szCs w:val="22"/>
              </w:rPr>
              <w:t xml:space="preserve">творческого, эстетического, интеллектуального, физического развития детей, подростков и молодежи, </w:t>
            </w:r>
            <w:r>
              <w:rPr>
                <w:color w:val="000000"/>
                <w:sz w:val="22"/>
                <w:szCs w:val="22"/>
              </w:rPr>
              <w:t xml:space="preserve">вовлечение их в добровольческую (волонтерскую) деятельность, </w:t>
            </w:r>
            <w:r>
              <w:rPr>
                <w:color w:val="000000"/>
                <w:sz w:val="22"/>
                <w:szCs w:val="22"/>
              </w:rPr>
              <w:t xml:space="preserve">формирование патриотических ценностей, поддержка социально-значимых проектов, инициатив, программ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Реализованы мероприятия по работе с детьми и молодежью творческой, эстетической, интеллектуальной, физической, духовно-нравственной, патриотической направленности.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 xml:space="preserve">Обеспечена деятельность муниципального бюджетного учреждения  Белоярского района «Многофункциональный молодежный  центр «Спутник» (далее- МБУ ММЦ «Спутник»).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 xml:space="preserve">Реализованы мероприятия по содействию занятости молодежи.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  <w:t xml:space="preserve">вовлечение их в добровольческую (волонтерскую) деятельность,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Доля молодых людей, вовлеченных в добровольческую и общественную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деятельнос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2"/>
                <w:szCs w:val="22"/>
              </w:rPr>
              <w:t xml:space="preserve">ть.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Охват молодежи мероприятиями, проводимыми на базе инфраструктуры молодежной политики.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«Организация отдыха и оздоровления детей»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«Организация отдыха и оздоровления детей»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реализацию: КДМ,ФКиС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1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условий для отдыха и оздоровления детей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</w:t>
            </w:r>
            <w:r>
              <w:rPr>
                <w:color w:val="000000"/>
                <w:sz w:val="22"/>
                <w:szCs w:val="22"/>
              </w:rPr>
              <w:t xml:space="preserve">даны благоприятные условия для организации отдыха детей в каникулярное время на базе   муниципального автономного учреждения физической культуры и спорта  Белоярского района  «База спорта и отдыха «Северянка» (далее- МАУ «База спорта и отдыха «Северянка»).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 xml:space="preserve">Предоставлены путевки детям  в возрасте от 6 до 17 лет  в организации, обеспечивающие отдых и оздоровление детей. 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 xml:space="preserve">Организованы отдых и оздоровление детей в оздоровительных учреждениях различных типов на территории Белоярского района.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3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Оказано содействие в участии немуниципальных организаций, в том числе социально ориентированных некоммерческих организаций, и социальных предпринимателей  в организации отдыха детей и молодежи (в каникулярное время с круглосуточным пребыванием).</w:t>
            </w:r>
            <w:r>
              <w:rPr>
                <w:color w:val="ff0000"/>
                <w:sz w:val="22"/>
                <w:szCs w:val="22"/>
              </w:rPr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отдохнувших детей в возрасте от 6 до 17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center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«Создание условий для организации отдыха и оздоровления детей»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организации отдыха и оздоровления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стоимости проезда к местам сбора организованных групп и обратно детям, проявившим способности в сфере физической культуры и спорта.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Оплата услуг лиц, сопровождающих детей к местам сбора организованных групп и обратно детям, проявившим способности в сфере физической культуры и спорта.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Обеспечено участие специалистов, в том числе немуниципальных организаций,  в обучающих семинарах и совещаниях организаторов оздоровления, отдыха, занятости детей, организация контроля за деятельностью детских оздоровительных учреждений.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отдохнувших детей в возрасте от 6 до 17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(подпрограмма) «Повышение безопасности, комфортности и доступности объектов в подведомственных учреждениях»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«Развитие отраслевой инфраструктуры»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</w:t>
            </w:r>
            <w:r>
              <w:rPr>
                <w:sz w:val="22"/>
                <w:szCs w:val="22"/>
              </w:rPr>
              <w:t xml:space="preserve">ный за реализацию: КДМ,ФКиС, Управление капитального строительства администрации Белоярского района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условий для улучшения качества и увеличения объема услуг, предоставляемых населению, развитие инфраструктуры подведомственных учреждений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3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Укре</w:t>
            </w:r>
            <w:r>
              <w:rPr>
                <w:sz w:val="22"/>
                <w:szCs w:val="22"/>
              </w:rPr>
              <w:t xml:space="preserve">пление материально-технической базы учреждений физической культуры и спорта.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Развитие материально-технической базы учреждений физической культуры и спорта: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- строительство дополнительного корпуса для реабилитации граждан МАУ «База спорта и отдыха «Северянка»;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строительство (реконструкция)  спортивного зала в с.Казым;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- строительство (реконструкция) универсального спортивного зала «Олимп» г. Белоярский;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строительство спортивного центра с плавательным бассейном в городе Белоярский.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благоприятных условий  для жизнедеятельности  инвалидов  и других маломобильн</w:t>
            </w:r>
            <w:r>
              <w:rPr>
                <w:color w:val="000000"/>
                <w:sz w:val="22"/>
                <w:szCs w:val="22"/>
              </w:rPr>
              <w:t xml:space="preserve">ых групп населения в подведомственных учреждениях.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граждан, систематически занимающихся физической культурой и спортом.</w:t>
            </w:r>
            <w:r>
              <w:rPr>
                <w:color w:val="000000"/>
                <w:sz w:val="22"/>
                <w:szCs w:val="22"/>
              </w:rPr>
              <w:br w:type="textWrapping" w:clear="all"/>
            </w:r>
            <w:r>
              <w:rPr>
                <w:color w:val="000000"/>
                <w:sz w:val="22"/>
                <w:szCs w:val="22"/>
              </w:rPr>
              <w:t xml:space="preserve">Количество отдохнувших детей в возрасте от 6 до 17 лет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bottom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Направление (подпрограмма) «Создание условий для реализации мероприятий муниципальной программы»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bottom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Ответственный: КДМ,ФКиС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реализации: 2025-2030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bottom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функций управления в сфере физической культуры, спорта и молодежной политики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деятельности Комитета по делам молодежи, физической культуре и спорту администрации Белоярского района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pageBreakBefore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___________2025 года №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6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30"/>
        <w:ind w:left="1276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«Развитие физической культуры, спорта и молодежной политики»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«4. Финансовое обеспечение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tabs>
          <w:tab w:val="left" w:pos="396" w:leader="none"/>
        </w:tabs>
        <w:rPr>
          <w:rFonts w:eastAsia="Calibri"/>
          <w:sz w:val="24"/>
          <w:szCs w:val="24"/>
          <w:lang w:eastAsia="en-US"/>
        </w:rPr>
        <w:outlineLvl w:val="1"/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tbl>
      <w:tblPr>
        <w:tblW w:w="14596" w:type="dxa"/>
        <w:tblInd w:w="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6237"/>
        <w:gridCol w:w="993"/>
        <w:gridCol w:w="992"/>
        <w:gridCol w:w="992"/>
        <w:gridCol w:w="992"/>
        <w:gridCol w:w="993"/>
        <w:gridCol w:w="1417"/>
        <w:gridCol w:w="1418"/>
      </w:tblGrid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bottom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97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2028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2029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2030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bottom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«Развитие физической культуры, спорта и молодежной политики»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282 551,9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272 108,8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278 523,8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278 523,8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278 523,8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278 523,8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1 668 755,9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31 259,9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30 559,9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30 609,9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30 609,9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30 609,9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30 609,9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184 259,4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251 292,0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241 548,9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247 913,9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247 913,9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247 913,9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247 913,9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1 484 496,5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физической культуры и массового спорта " 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102 902,7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100 629,2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103 997,2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103 997,2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103 997,2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103 997,2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619 520,7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6 008,3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5 308,3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5 308,3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5 308,3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5 308,3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5 308,3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32 549,8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96 894,4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95 320,9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98 688,9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98 688,9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98 688,9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98 688,9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586 970,9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"Обеспечение деятельности МАУ ФКиС Белоярского района «Дворец спорта»"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92 001,7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89 728,2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93 096,2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93 096,2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93 096,2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93 096,2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554 114,7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700,0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700,0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91 301,7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89 728,2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93 096,2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93 096,2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93 096,2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93 096,2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553 414,7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"Участие спортивных сборных команд Белоярского района в спортивно-массовых мероприятиях"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31 879,2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5 313,2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31 879,2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8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"Поддержка физкультурно-спортивных организаций, осуществляющих подготовку спортивного резерва" всего,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1 946,4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1 946,4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1 946,4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1 946,4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1 946,4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1 946,4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11 678,4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1 849,0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1 849,0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1 849,0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1 849,0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1 849,0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1 849,0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11 094,0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97,4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97,4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97,4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97,4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97,4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97,4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584,4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"Развитие сети спортивных объектов шаговой доступности" всего,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3 641,4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3 641,4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3 641,4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3 641,4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3 641,4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3 641,4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21 848,4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3 459,3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3 459,3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3 459,3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3 459,3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3 459,3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3 459,3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20 755,8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182,1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182,1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182,1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182,1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182,1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182,1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1 092,6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системы дополнительного образования в сфере физической культуры и спорта" 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50 350,4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47 279,7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286 473,7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50 350,4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47 279,7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286 473,7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"Обеспечение деятельности  МБУ дополнительного образования Белоярского района "Спортивная школа г.Белоярский"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50 350,4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47 279,7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286 473,7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50 350,4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47 279,7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47 210,9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286 473,7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"Организация и осуществление мероприятий по работе с детьми и молодежью" 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38 526,0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40 623,7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40 665,0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40 665,0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40 665,0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40 665,0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241 809,7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7 619,9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7 619,9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45 919,4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30 906,1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33 003,8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32 995,1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32 995,1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32 995,1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32 995,1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195 890,3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"Реализация мероприятий по работе с детьми и молодежью"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1 473,0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10 147,5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1 473,0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1 734,9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10 147,5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"Обеспечение деятельности МБУ Белоярского района "Многофункциональный молодежный  центр "Спутник"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26 473,4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25 441,3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25 432,6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25 432,6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25 432,6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25 432,6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153 645,1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26 473,4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25 441,3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25 432,6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25 432,6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25 432,6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25 432,6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153 645,1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"Реализация мероприятий по содействию занятости молодежи" всего,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10 487,8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13 355,7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13 405,7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13 405,7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13 405,7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13 405,7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77 466,3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7 619,9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7 619,9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7 669,9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45 919,4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2 867,9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5 735,8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5 735,8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5 735,8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5 735,8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5 735,8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31 546,9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"Реализация мероприятий, направленных на поддержку добровольчества (волонтерства)"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550,8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550,8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"Организация отдыха и оздоровления детей"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68 948,9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62 733,6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65 782,8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65 782,8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65 782,8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65 782,8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394 813,7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17 631,7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17 631,7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17 631,7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17 631,7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17 631,7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17 631,7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105 790,2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51 317,2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45 101,9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48 151,1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48 151,1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48 151,1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48 151,1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289 023,5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"Обеспечение деятельности МАУ ФКиС Белоярского района "База спорта и отдыха "Северянка"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50 887,4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44 707,7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47 756,9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47 756,9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47 756,9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47 756,9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286 622,7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50 887,4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44 707,7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47 756,9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47 756,9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47 756,9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47 756,9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286 622,7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"Организация отдыха и оздоровления детей в лагере с дневным пребыванием детей на базе учреждений физической культуры и спорта"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910,4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874,8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874,8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874,8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874,8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874,8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5 284,4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480,6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480,6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480,6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480,6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480,6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480,6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2 883,6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429,8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394,2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394,2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394,2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394,2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394,2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2 400,8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"Предоставление детям  в возрасте от 6 до 17 лет путевок в организации, обеспечивающие отдых и оздоровление детей"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102 906,6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17 151,1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102 906,6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"Создание условий для организации отдыха и оздоровления детей"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1 188,0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198,0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1 188,0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bottom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"Развитие отраслевой инфраструктуры»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bottom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21 625,9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20 644,6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124 950,1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21 625,9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20 644,6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124 950,1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bottom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"Обеспечение функций управления в сфере физической культуры, спорта и молодежной политики"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21 625,9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20 644,6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124 950,1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21 625,9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20 644,6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20 669,9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  <w:t xml:space="preserve">124 950,1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993" w:right="1134" w:bottom="568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8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8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8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rPr>
      <w:rFonts w:eastAsia="Times New Roman"/>
      <w:lang w:val="ru-RU" w:eastAsia="ru-RU" w:bidi="ar-SA"/>
    </w:rPr>
  </w:style>
  <w:style w:type="paragraph" w:styleId="831">
    <w:name w:val="Заголовок 1"/>
    <w:basedOn w:val="830"/>
    <w:next w:val="830"/>
    <w:link w:val="836"/>
    <w:qFormat/>
    <w:pPr>
      <w:jc w:val="center"/>
      <w:keepNext/>
      <w:outlineLvl w:val="0"/>
    </w:pPr>
    <w:rPr>
      <w:b/>
      <w:sz w:val="28"/>
    </w:rPr>
  </w:style>
  <w:style w:type="paragraph" w:styleId="832">
    <w:name w:val="Заголовок 2"/>
    <w:basedOn w:val="830"/>
    <w:next w:val="830"/>
    <w:link w:val="837"/>
    <w:qFormat/>
    <w:pPr>
      <w:jc w:val="center"/>
      <w:keepNext/>
      <w:outlineLvl w:val="1"/>
    </w:pPr>
    <w:rPr>
      <w:b/>
      <w:sz w:val="24"/>
    </w:rPr>
  </w:style>
  <w:style w:type="paragraph" w:styleId="833">
    <w:name w:val="Заголовок 3"/>
    <w:basedOn w:val="830"/>
    <w:next w:val="830"/>
    <w:link w:val="838"/>
    <w:qFormat/>
    <w:pPr>
      <w:jc w:val="center"/>
      <w:keepNext/>
      <w:outlineLvl w:val="2"/>
    </w:pPr>
    <w:rPr>
      <w:sz w:val="28"/>
    </w:rPr>
  </w:style>
  <w:style w:type="character" w:styleId="834">
    <w:name w:val="Основной шрифт абзаца"/>
    <w:next w:val="834"/>
    <w:link w:val="830"/>
    <w:uiPriority w:val="1"/>
    <w:unhideWhenUsed/>
  </w:style>
  <w:style w:type="table" w:styleId="835">
    <w:name w:val="Обычная таблица"/>
    <w:next w:val="835"/>
    <w:link w:val="830"/>
    <w:uiPriority w:val="99"/>
    <w:unhideWhenUsed/>
    <w:tblPr/>
  </w:style>
  <w:style w:type="character" w:styleId="836">
    <w:name w:val="Заголовок 1 Знак"/>
    <w:next w:val="836"/>
    <w:link w:val="83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37">
    <w:name w:val="Заголовок 2 Знак"/>
    <w:next w:val="837"/>
    <w:link w:val="832"/>
    <w:rPr>
      <w:rFonts w:ascii="Times New Roman" w:hAnsi="Times New Roman" w:eastAsia="Times New Roman"/>
      <w:b/>
      <w:sz w:val="24"/>
    </w:rPr>
  </w:style>
  <w:style w:type="character" w:styleId="838">
    <w:name w:val="Заголовок 3 Знак"/>
    <w:next w:val="838"/>
    <w:link w:val="83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9">
    <w:name w:val="Просмотренная гиперссылка"/>
    <w:next w:val="839"/>
    <w:link w:val="830"/>
    <w:uiPriority w:val="99"/>
    <w:rPr>
      <w:color w:val="800080"/>
      <w:u w:val="single"/>
    </w:rPr>
  </w:style>
  <w:style w:type="character" w:styleId="840">
    <w:name w:val="Знак примечания"/>
    <w:next w:val="840"/>
    <w:link w:val="830"/>
    <w:uiPriority w:val="99"/>
    <w:rPr>
      <w:sz w:val="16"/>
      <w:szCs w:val="16"/>
    </w:rPr>
  </w:style>
  <w:style w:type="character" w:styleId="841">
    <w:name w:val="Гиперссылка"/>
    <w:next w:val="841"/>
    <w:link w:val="830"/>
    <w:uiPriority w:val="99"/>
    <w:unhideWhenUsed/>
    <w:rPr>
      <w:color w:val="0000ff"/>
      <w:u w:val="single"/>
    </w:rPr>
  </w:style>
  <w:style w:type="character" w:styleId="842">
    <w:name w:val="Номер страницы"/>
    <w:next w:val="842"/>
    <w:link w:val="830"/>
  </w:style>
  <w:style w:type="paragraph" w:styleId="843">
    <w:name w:val="Текст выноски"/>
    <w:basedOn w:val="830"/>
    <w:next w:val="843"/>
    <w:link w:val="844"/>
    <w:uiPriority w:val="99"/>
    <w:unhideWhenUsed/>
    <w:rPr>
      <w:rFonts w:ascii="Tahoma" w:hAnsi="Tahoma"/>
      <w:sz w:val="16"/>
      <w:szCs w:val="16"/>
    </w:rPr>
  </w:style>
  <w:style w:type="character" w:styleId="844">
    <w:name w:val="Текст выноски Знак"/>
    <w:next w:val="844"/>
    <w:link w:val="843"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45">
    <w:name w:val="Основной текст 2"/>
    <w:basedOn w:val="830"/>
    <w:next w:val="845"/>
    <w:link w:val="846"/>
    <w:pPr>
      <w:spacing w:after="120" w:line="480" w:lineRule="auto"/>
    </w:pPr>
  </w:style>
  <w:style w:type="character" w:styleId="846">
    <w:name w:val="Основной текст 2 Знак"/>
    <w:next w:val="846"/>
    <w:link w:val="84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Текст"/>
    <w:basedOn w:val="830"/>
    <w:next w:val="847"/>
    <w:link w:val="84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848">
    <w:name w:val="Текст Знак"/>
    <w:next w:val="848"/>
    <w:link w:val="847"/>
    <w:uiPriority w:val="99"/>
    <w:rPr>
      <w:sz w:val="22"/>
      <w:szCs w:val="21"/>
      <w:lang w:eastAsia="en-US"/>
    </w:rPr>
  </w:style>
  <w:style w:type="paragraph" w:styleId="849">
    <w:name w:val="Основной текст с отступом 3"/>
    <w:basedOn w:val="830"/>
    <w:next w:val="849"/>
    <w:link w:val="850"/>
    <w:pPr>
      <w:jc w:val="center"/>
    </w:pPr>
    <w:rPr>
      <w:sz w:val="24"/>
    </w:rPr>
  </w:style>
  <w:style w:type="character" w:styleId="850">
    <w:name w:val="Основной текст с отступом 3 Знак"/>
    <w:next w:val="850"/>
    <w:link w:val="84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51">
    <w:name w:val="Текст примечания"/>
    <w:basedOn w:val="830"/>
    <w:next w:val="851"/>
    <w:link w:val="852"/>
  </w:style>
  <w:style w:type="character" w:styleId="852">
    <w:name w:val="Текст примечания Знак"/>
    <w:next w:val="852"/>
    <w:link w:val="851"/>
    <w:rPr>
      <w:rFonts w:ascii="Times New Roman" w:hAnsi="Times New Roman" w:eastAsia="Times New Roman"/>
    </w:rPr>
  </w:style>
  <w:style w:type="paragraph" w:styleId="853">
    <w:name w:val="Тема примечания"/>
    <w:basedOn w:val="851"/>
    <w:next w:val="851"/>
    <w:link w:val="854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854">
    <w:name w:val="Тема примечания Знак"/>
    <w:next w:val="854"/>
    <w:link w:val="853"/>
    <w:uiPriority w:val="99"/>
    <w:rPr>
      <w:rFonts w:ascii="Times New Roman" w:hAnsi="Times New Roman" w:eastAsia="Times New Roman"/>
      <w:b/>
      <w:bCs/>
      <w:lang w:eastAsia="en-US"/>
    </w:rPr>
  </w:style>
  <w:style w:type="paragraph" w:styleId="855">
    <w:name w:val="Верхний колонтитул"/>
    <w:basedOn w:val="830"/>
    <w:next w:val="855"/>
    <w:link w:val="856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56">
    <w:name w:val="Верхний колонтитул Знак"/>
    <w:next w:val="856"/>
    <w:link w:val="855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57">
    <w:name w:val="Нижний колонтитул"/>
    <w:basedOn w:val="830"/>
    <w:next w:val="857"/>
    <w:link w:val="858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58">
    <w:name w:val="Нижний колонтитул Знак"/>
    <w:next w:val="858"/>
    <w:link w:val="857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59">
    <w:name w:val="Обычный (веб)"/>
    <w:basedOn w:val="830"/>
    <w:next w:val="859"/>
    <w:link w:val="830"/>
    <w:pPr>
      <w:spacing w:before="100" w:beforeAutospacing="1" w:after="100" w:afterAutospacing="1"/>
    </w:pPr>
    <w:rPr>
      <w:sz w:val="24"/>
      <w:szCs w:val="24"/>
    </w:rPr>
  </w:style>
  <w:style w:type="paragraph" w:styleId="860">
    <w:name w:val="Основной текст 3"/>
    <w:basedOn w:val="830"/>
    <w:next w:val="860"/>
    <w:link w:val="861"/>
    <w:pPr>
      <w:spacing w:after="120"/>
    </w:pPr>
    <w:rPr>
      <w:sz w:val="16"/>
      <w:szCs w:val="16"/>
    </w:rPr>
  </w:style>
  <w:style w:type="character" w:styleId="861">
    <w:name w:val="Основной текст 3 Знак"/>
    <w:next w:val="861"/>
    <w:link w:val="86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62">
    <w:name w:val="Стандартный HTML"/>
    <w:basedOn w:val="830"/>
    <w:next w:val="862"/>
    <w:link w:val="86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/>
    </w:rPr>
  </w:style>
  <w:style w:type="character" w:styleId="863">
    <w:name w:val="Стандартный HTML Знак"/>
    <w:next w:val="863"/>
    <w:link w:val="862"/>
    <w:rPr>
      <w:rFonts w:ascii="Courier New" w:hAnsi="Courier New"/>
    </w:rPr>
  </w:style>
  <w:style w:type="table" w:styleId="864">
    <w:name w:val="Сетка таблицы"/>
    <w:basedOn w:val="835"/>
    <w:next w:val="864"/>
    <w:link w:val="830"/>
    <w:uiPriority w:val="39"/>
    <w:rPr>
      <w:rFonts w:ascii="Times New Roman" w:hAnsi="Times New Roman" w:eastAsia="Times New Roman"/>
    </w:rPr>
    <w:tblPr/>
  </w:style>
  <w:style w:type="paragraph" w:styleId="865">
    <w:name w:val="Знак1 Знак Знак Знак1"/>
    <w:basedOn w:val="830"/>
    <w:next w:val="865"/>
    <w:link w:val="83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66">
    <w:name w:val="Абзац списка"/>
    <w:basedOn w:val="830"/>
    <w:next w:val="866"/>
    <w:link w:val="830"/>
    <w:uiPriority w:val="34"/>
    <w:qFormat/>
    <w:pPr>
      <w:contextualSpacing/>
      <w:ind w:left="720"/>
    </w:pPr>
  </w:style>
  <w:style w:type="paragraph" w:styleId="867">
    <w:name w:val="ConsPlusNormal"/>
    <w:next w:val="867"/>
    <w:link w:val="868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68">
    <w:name w:val="ConsPlusNormal Знак"/>
    <w:next w:val="868"/>
    <w:link w:val="867"/>
    <w:rPr>
      <w:rFonts w:ascii="Arial" w:hAnsi="Arial" w:eastAsia="Times New Roman" w:cs="Arial"/>
      <w:lang w:val="ru-RU" w:eastAsia="ru-RU" w:bidi="ar-SA"/>
    </w:rPr>
  </w:style>
  <w:style w:type="paragraph" w:styleId="869">
    <w:name w:val="ConsPlusTitle"/>
    <w:next w:val="869"/>
    <w:link w:val="830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70">
    <w:name w:val="ConsPlusNonformat"/>
    <w:next w:val="870"/>
    <w:link w:val="83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1">
    <w:name w:val="ConsNormal"/>
    <w:next w:val="871"/>
    <w:link w:val="830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character" w:styleId="872">
    <w:name w:val="Heading 1 Char"/>
    <w:next w:val="872"/>
    <w:link w:val="830"/>
    <w:rPr>
      <w:rFonts w:cs="Times New Roman"/>
      <w:b/>
      <w:sz w:val="28"/>
      <w:lang w:val="ru-RU" w:eastAsia="ru-RU" w:bidi="ar-SA"/>
    </w:rPr>
  </w:style>
  <w:style w:type="character" w:styleId="873">
    <w:name w:val="Heading 2 Char"/>
    <w:next w:val="873"/>
    <w:link w:val="830"/>
    <w:semiHidden/>
    <w:rPr>
      <w:rFonts w:cs="Times New Roman"/>
      <w:b/>
      <w:sz w:val="24"/>
      <w:lang w:val="ru-RU" w:eastAsia="ru-RU" w:bidi="ar-SA"/>
    </w:rPr>
  </w:style>
  <w:style w:type="character" w:styleId="874">
    <w:name w:val="Heading 3 Char"/>
    <w:next w:val="874"/>
    <w:link w:val="830"/>
    <w:semiHidden/>
    <w:rPr>
      <w:rFonts w:cs="Times New Roman"/>
      <w:sz w:val="28"/>
      <w:lang w:val="ru-RU" w:eastAsia="ru-RU" w:bidi="ar-SA"/>
    </w:rPr>
  </w:style>
  <w:style w:type="paragraph" w:styleId="875">
    <w:name w:val="Без интервала1"/>
    <w:next w:val="875"/>
    <w:link w:val="830"/>
    <w:rPr>
      <w:rFonts w:eastAsia="Times New Roman" w:cs="Calibri"/>
      <w:sz w:val="22"/>
      <w:szCs w:val="22"/>
      <w:lang w:val="ru-RU" w:eastAsia="ru-RU" w:bidi="ar-SA"/>
    </w:rPr>
  </w:style>
  <w:style w:type="character" w:styleId="876">
    <w:name w:val="Стандартный HTML Знак1"/>
    <w:next w:val="876"/>
    <w:link w:val="830"/>
    <w:uiPriority w:val="99"/>
    <w:rPr>
      <w:rFonts w:ascii="Courier New" w:hAnsi="Courier New" w:eastAsia="Times New Roman" w:cs="Courier New"/>
    </w:rPr>
  </w:style>
  <w:style w:type="paragraph" w:styleId="877">
    <w:name w:val="Без интервала"/>
    <w:next w:val="877"/>
    <w:link w:val="830"/>
    <w:qFormat/>
    <w:rPr>
      <w:rFonts w:eastAsia="Times New Roman" w:cs="Calibri"/>
      <w:sz w:val="22"/>
      <w:szCs w:val="22"/>
      <w:lang w:val="ru-RU" w:eastAsia="ru-RU" w:bidi="ar-SA"/>
    </w:rPr>
  </w:style>
  <w:style w:type="paragraph" w:styleId="878">
    <w:name w:val="Знак"/>
    <w:basedOn w:val="830"/>
    <w:next w:val="878"/>
    <w:link w:val="8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79">
    <w:name w:val="Без интервала2"/>
    <w:next w:val="879"/>
    <w:link w:val="830"/>
    <w:rPr>
      <w:rFonts w:eastAsia="Times New Roman" w:cs="Calibri"/>
      <w:sz w:val="22"/>
      <w:szCs w:val="22"/>
      <w:lang w:val="ru-RU" w:eastAsia="ru-RU" w:bidi="ar-SA"/>
    </w:rPr>
  </w:style>
  <w:style w:type="paragraph" w:styleId="880">
    <w:name w:val=" Знак Знак Знак Знак1 Знак Знак1 Знак Знак Знак Знак Знак Знак Знак Знак Знак Знак Знак Знак"/>
    <w:basedOn w:val="830"/>
    <w:next w:val="880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881">
    <w:name w:val="ConsPlusTitlePage"/>
    <w:next w:val="881"/>
    <w:link w:val="830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table" w:styleId="882">
    <w:name w:val="TableGrid1"/>
    <w:next w:val="882"/>
    <w:link w:val="830"/>
    <w:rPr>
      <w:rFonts w:eastAsia="Times New Roman"/>
      <w:sz w:val="22"/>
      <w:szCs w:val="22"/>
      <w:lang w:val="ru-RU" w:eastAsia="ru-RU" w:bidi="ar-SA"/>
    </w:rPr>
    <w:tblPr/>
  </w:style>
  <w:style w:type="paragraph" w:styleId="883">
    <w:name w:val="Верхний колонтитул1"/>
    <w:basedOn w:val="830"/>
    <w:next w:val="855"/>
    <w:link w:val="83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884">
    <w:name w:val="Нижний колонтитул1"/>
    <w:basedOn w:val="830"/>
    <w:next w:val="857"/>
    <w:link w:val="83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885">
    <w:name w:val="Верхний колонтитул Знак1"/>
    <w:next w:val="885"/>
    <w:link w:val="830"/>
    <w:uiPriority w:val="99"/>
    <w:rPr>
      <w:rFonts w:ascii="Calibri" w:hAnsi="Calibri" w:eastAsia="Calibri" w:cs="Calibri"/>
      <w:color w:val="000000"/>
    </w:rPr>
  </w:style>
  <w:style w:type="character" w:styleId="886">
    <w:name w:val="Нижний колонтитул Знак1"/>
    <w:next w:val="886"/>
    <w:link w:val="830"/>
    <w:uiPriority w:val="99"/>
    <w:rPr>
      <w:rFonts w:ascii="Calibri" w:hAnsi="Calibri" w:eastAsia="Calibri" w:cs="Calibri"/>
      <w:color w:val="000000"/>
    </w:rPr>
  </w:style>
  <w:style w:type="paragraph" w:styleId="887">
    <w:name w:val="font5"/>
    <w:basedOn w:val="830"/>
    <w:next w:val="887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88">
    <w:name w:val="font6"/>
    <w:basedOn w:val="830"/>
    <w:next w:val="888"/>
    <w:link w:val="8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889">
    <w:name w:val="font7"/>
    <w:basedOn w:val="830"/>
    <w:next w:val="889"/>
    <w:link w:val="830"/>
    <w:pPr>
      <w:spacing w:before="100" w:beforeAutospacing="1" w:after="100" w:afterAutospacing="1"/>
    </w:pPr>
    <w:rPr>
      <w:sz w:val="21"/>
      <w:szCs w:val="21"/>
    </w:rPr>
  </w:style>
  <w:style w:type="paragraph" w:styleId="890">
    <w:name w:val="xl65"/>
    <w:basedOn w:val="830"/>
    <w:next w:val="890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91">
    <w:name w:val="xl66"/>
    <w:basedOn w:val="830"/>
    <w:next w:val="891"/>
    <w:link w:val="83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892">
    <w:name w:val="xl67"/>
    <w:basedOn w:val="830"/>
    <w:next w:val="892"/>
    <w:link w:val="830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893">
    <w:name w:val="xl68"/>
    <w:basedOn w:val="830"/>
    <w:next w:val="893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94">
    <w:name w:val="xl69"/>
    <w:basedOn w:val="830"/>
    <w:next w:val="894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5">
    <w:name w:val="xl70"/>
    <w:basedOn w:val="830"/>
    <w:next w:val="89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896">
    <w:name w:val="xl71"/>
    <w:basedOn w:val="830"/>
    <w:next w:val="896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7">
    <w:name w:val="xl72"/>
    <w:basedOn w:val="830"/>
    <w:next w:val="897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8">
    <w:name w:val="xl73"/>
    <w:basedOn w:val="830"/>
    <w:next w:val="89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9">
    <w:name w:val="xl74"/>
    <w:basedOn w:val="830"/>
    <w:next w:val="899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0">
    <w:name w:val="xl75"/>
    <w:basedOn w:val="830"/>
    <w:next w:val="900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1">
    <w:name w:val="xl76"/>
    <w:basedOn w:val="830"/>
    <w:next w:val="90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2">
    <w:name w:val="xl77"/>
    <w:basedOn w:val="830"/>
    <w:next w:val="90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3">
    <w:name w:val="xl78"/>
    <w:basedOn w:val="830"/>
    <w:next w:val="903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4">
    <w:name w:val="xl79"/>
    <w:basedOn w:val="830"/>
    <w:next w:val="904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5">
    <w:name w:val="xl80"/>
    <w:basedOn w:val="830"/>
    <w:next w:val="905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6">
    <w:name w:val="xl81"/>
    <w:basedOn w:val="830"/>
    <w:next w:val="906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7">
    <w:name w:val="xl82"/>
    <w:basedOn w:val="830"/>
    <w:next w:val="907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8">
    <w:name w:val="xl83"/>
    <w:basedOn w:val="830"/>
    <w:next w:val="908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9">
    <w:name w:val="xl84"/>
    <w:basedOn w:val="830"/>
    <w:next w:val="909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0">
    <w:name w:val="xl85"/>
    <w:basedOn w:val="830"/>
    <w:next w:val="910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1">
    <w:name w:val="xl86"/>
    <w:basedOn w:val="830"/>
    <w:next w:val="91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2">
    <w:name w:val="xl87"/>
    <w:basedOn w:val="830"/>
    <w:next w:val="91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13">
    <w:name w:val="xl88"/>
    <w:basedOn w:val="830"/>
    <w:next w:val="913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4">
    <w:name w:val="xl89"/>
    <w:basedOn w:val="830"/>
    <w:next w:val="914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5">
    <w:name w:val="xl90"/>
    <w:basedOn w:val="830"/>
    <w:next w:val="915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6">
    <w:name w:val="xl91"/>
    <w:basedOn w:val="830"/>
    <w:next w:val="916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7">
    <w:name w:val="xl92"/>
    <w:basedOn w:val="830"/>
    <w:next w:val="917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8">
    <w:name w:val="xl93"/>
    <w:basedOn w:val="830"/>
    <w:next w:val="91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9">
    <w:name w:val="xl94"/>
    <w:basedOn w:val="830"/>
    <w:next w:val="919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0">
    <w:name w:val="xl95"/>
    <w:basedOn w:val="830"/>
    <w:next w:val="920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1">
    <w:name w:val="xl96"/>
    <w:basedOn w:val="830"/>
    <w:next w:val="921"/>
    <w:link w:val="830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22">
    <w:name w:val="xl97"/>
    <w:basedOn w:val="830"/>
    <w:next w:val="922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23">
    <w:name w:val="xl98"/>
    <w:basedOn w:val="830"/>
    <w:next w:val="923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4">
    <w:name w:val="xl99"/>
    <w:basedOn w:val="830"/>
    <w:next w:val="924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5">
    <w:name w:val="xl100"/>
    <w:basedOn w:val="830"/>
    <w:next w:val="92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6">
    <w:name w:val="xl101"/>
    <w:basedOn w:val="830"/>
    <w:next w:val="926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7">
    <w:name w:val="xl102"/>
    <w:basedOn w:val="830"/>
    <w:next w:val="927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28">
    <w:name w:val="xl103"/>
    <w:basedOn w:val="830"/>
    <w:next w:val="92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9">
    <w:name w:val="xl104"/>
    <w:basedOn w:val="830"/>
    <w:next w:val="929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930">
    <w:name w:val="xl105"/>
    <w:basedOn w:val="830"/>
    <w:next w:val="930"/>
    <w:link w:val="8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31">
    <w:name w:val="xl106"/>
    <w:basedOn w:val="830"/>
    <w:next w:val="931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2">
    <w:name w:val="xl107"/>
    <w:basedOn w:val="830"/>
    <w:next w:val="932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33">
    <w:name w:val="xl108"/>
    <w:basedOn w:val="830"/>
    <w:next w:val="933"/>
    <w:link w:val="8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34">
    <w:name w:val="xl109"/>
    <w:basedOn w:val="830"/>
    <w:next w:val="934"/>
    <w:link w:val="8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5">
    <w:name w:val="xl110"/>
    <w:basedOn w:val="830"/>
    <w:next w:val="935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6">
    <w:name w:val="xl111"/>
    <w:basedOn w:val="830"/>
    <w:next w:val="936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7">
    <w:name w:val="xl112"/>
    <w:basedOn w:val="830"/>
    <w:next w:val="937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8">
    <w:name w:val="xl113"/>
    <w:basedOn w:val="830"/>
    <w:next w:val="938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9">
    <w:name w:val="xl114"/>
    <w:basedOn w:val="830"/>
    <w:next w:val="939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0">
    <w:name w:val="xl115"/>
    <w:basedOn w:val="830"/>
    <w:next w:val="940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1">
    <w:name w:val="xl116"/>
    <w:basedOn w:val="830"/>
    <w:next w:val="94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2">
    <w:name w:val="xl117"/>
    <w:basedOn w:val="830"/>
    <w:next w:val="942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3">
    <w:name w:val="xl118"/>
    <w:basedOn w:val="830"/>
    <w:next w:val="943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4">
    <w:name w:val="xl119"/>
    <w:basedOn w:val="830"/>
    <w:next w:val="944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5">
    <w:name w:val="xl120"/>
    <w:basedOn w:val="830"/>
    <w:next w:val="945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6">
    <w:name w:val="xl121"/>
    <w:basedOn w:val="830"/>
    <w:next w:val="946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7">
    <w:name w:val="xl122"/>
    <w:basedOn w:val="830"/>
    <w:next w:val="947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8">
    <w:name w:val="xl123"/>
    <w:basedOn w:val="830"/>
    <w:next w:val="948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9">
    <w:name w:val="xl124"/>
    <w:basedOn w:val="830"/>
    <w:next w:val="949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0">
    <w:name w:val="xl125"/>
    <w:basedOn w:val="830"/>
    <w:next w:val="950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1">
    <w:name w:val="xl126"/>
    <w:basedOn w:val="830"/>
    <w:next w:val="951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2">
    <w:name w:val="xl127"/>
    <w:basedOn w:val="830"/>
    <w:next w:val="95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3">
    <w:name w:val="xl128"/>
    <w:basedOn w:val="830"/>
    <w:next w:val="953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4">
    <w:name w:val="xl129"/>
    <w:basedOn w:val="830"/>
    <w:next w:val="954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5">
    <w:name w:val="xl130"/>
    <w:basedOn w:val="830"/>
    <w:next w:val="95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6">
    <w:name w:val="xl131"/>
    <w:basedOn w:val="830"/>
    <w:next w:val="956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7">
    <w:name w:val="xl132"/>
    <w:basedOn w:val="830"/>
    <w:next w:val="957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8">
    <w:name w:val="xl63"/>
    <w:basedOn w:val="830"/>
    <w:next w:val="958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59">
    <w:name w:val="xl64"/>
    <w:basedOn w:val="830"/>
    <w:next w:val="959"/>
    <w:link w:val="83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0">
    <w:name w:val=" Знак Знак Знак Знак"/>
    <w:basedOn w:val="830"/>
    <w:next w:val="960"/>
    <w:link w:val="83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1">
    <w:name w:val=" Знак"/>
    <w:basedOn w:val="830"/>
    <w:next w:val="961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962">
    <w:name w:val="No Spacing"/>
    <w:next w:val="962"/>
    <w:link w:val="830"/>
    <w:rPr>
      <w:rFonts w:eastAsia="Times New Roman" w:cs="Calibri"/>
      <w:sz w:val="22"/>
      <w:szCs w:val="22"/>
      <w:lang w:val="ru-RU" w:eastAsia="ru-RU" w:bidi="ar-SA"/>
    </w:rPr>
  </w:style>
  <w:style w:type="paragraph" w:styleId="963">
    <w:name w:val="Основной"/>
    <w:basedOn w:val="830"/>
    <w:next w:val="963"/>
    <w:link w:val="830"/>
    <w:pPr>
      <w:ind w:firstLine="709"/>
      <w:jc w:val="both"/>
      <w:spacing w:after="20"/>
    </w:pPr>
    <w:rPr>
      <w:sz w:val="28"/>
      <w:szCs w:val="28"/>
    </w:rPr>
  </w:style>
  <w:style w:type="table" w:styleId="964">
    <w:name w:val="Сетка таблицы1"/>
    <w:basedOn w:val="835"/>
    <w:next w:val="964"/>
    <w:link w:val="830"/>
    <w:rPr>
      <w:rFonts w:ascii="Times New Roman" w:hAnsi="Times New Roman" w:eastAsia="Times New Roman"/>
    </w:rPr>
    <w:tblPr/>
  </w:style>
  <w:style w:type="paragraph" w:styleId="965">
    <w:name w:val="ConsPlusCell"/>
    <w:next w:val="965"/>
    <w:link w:val="830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66">
    <w:name w:val="ConsPlusDocList"/>
    <w:next w:val="966"/>
    <w:link w:val="83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table" w:styleId="967">
    <w:name w:val="Сетка таблицы11"/>
    <w:basedOn w:val="835"/>
    <w:next w:val="967"/>
    <w:link w:val="830"/>
    <w:uiPriority w:val="59"/>
    <w:tblPr/>
  </w:style>
  <w:style w:type="character" w:styleId="968">
    <w:name w:val="Основной текст (3)_"/>
    <w:next w:val="968"/>
    <w:link w:val="969"/>
    <w:rPr>
      <w:b/>
      <w:bCs/>
      <w:sz w:val="28"/>
      <w:szCs w:val="28"/>
      <w:shd w:val="clear" w:color="auto" w:fill="ffffff"/>
    </w:rPr>
  </w:style>
  <w:style w:type="paragraph" w:styleId="969">
    <w:name w:val="Основной текст (3)"/>
    <w:basedOn w:val="830"/>
    <w:next w:val="969"/>
    <w:link w:val="968"/>
    <w:pPr>
      <w:jc w:val="center"/>
      <w:spacing w:after="420" w:line="0" w:lineRule="atLeast"/>
      <w:shd w:val="clear" w:color="auto" w:fill="ffffff"/>
      <w:widowControl w:val="off"/>
    </w:pPr>
    <w:rPr>
      <w:rFonts w:ascii="Calibri" w:hAnsi="Calibri" w:eastAsia="Calibri"/>
      <w:b/>
      <w:bCs/>
      <w:sz w:val="28"/>
      <w:szCs w:val="28"/>
    </w:rPr>
  </w:style>
  <w:style w:type="table" w:styleId="970">
    <w:name w:val="Сетка таблицы2"/>
    <w:basedOn w:val="835"/>
    <w:next w:val="970"/>
    <w:link w:val="830"/>
    <w:uiPriority w:val="39"/>
    <w:rPr>
      <w:rFonts w:eastAsia="Times New Roman"/>
    </w:rPr>
    <w:tblPr/>
  </w:style>
  <w:style w:type="table" w:styleId="971">
    <w:name w:val="Сетка таблицы21"/>
    <w:basedOn w:val="835"/>
    <w:next w:val="971"/>
    <w:link w:val="830"/>
    <w:uiPriority w:val="39"/>
    <w:rPr>
      <w:rFonts w:ascii="Times New Roman" w:hAnsi="Times New Roman" w:eastAsia="Times New Roman"/>
    </w:rPr>
    <w:tblPr/>
  </w:style>
  <w:style w:type="table" w:styleId="972">
    <w:name w:val="TableGrid11"/>
    <w:next w:val="972"/>
    <w:link w:val="830"/>
    <w:rPr>
      <w:rFonts w:eastAsia="Times New Roman"/>
      <w:sz w:val="22"/>
      <w:szCs w:val="22"/>
      <w:lang w:val="ru-RU" w:eastAsia="ru-RU" w:bidi="ar-SA"/>
    </w:rPr>
    <w:tblPr/>
  </w:style>
  <w:style w:type="table" w:styleId="973">
    <w:name w:val="Сетка таблицы12"/>
    <w:basedOn w:val="835"/>
    <w:next w:val="973"/>
    <w:link w:val="830"/>
    <w:rPr>
      <w:rFonts w:ascii="Times New Roman" w:hAnsi="Times New Roman" w:eastAsia="Times New Roman"/>
    </w:rPr>
    <w:tblPr/>
  </w:style>
  <w:style w:type="table" w:styleId="974">
    <w:name w:val="Сетка таблицы111"/>
    <w:basedOn w:val="835"/>
    <w:next w:val="974"/>
    <w:link w:val="830"/>
    <w:uiPriority w:val="59"/>
    <w:tblPr/>
  </w:style>
  <w:style w:type="table" w:styleId="975">
    <w:name w:val="Сетка таблицы3"/>
    <w:basedOn w:val="835"/>
    <w:next w:val="975"/>
    <w:link w:val="830"/>
    <w:uiPriority w:val="39"/>
    <w:rPr>
      <w:rFonts w:ascii="Times New Roman" w:hAnsi="Times New Roman" w:eastAsia="Times New Roman"/>
    </w:rPr>
    <w:tblPr/>
  </w:style>
  <w:style w:type="table" w:styleId="976">
    <w:name w:val="TableGrid21"/>
    <w:next w:val="976"/>
    <w:link w:val="830"/>
    <w:rPr>
      <w:rFonts w:eastAsia="Times New Roman"/>
      <w:sz w:val="22"/>
      <w:szCs w:val="22"/>
      <w:lang w:val="ru-RU" w:eastAsia="ru-RU" w:bidi="ar-SA"/>
    </w:rPr>
    <w:tblPr/>
  </w:style>
  <w:style w:type="table" w:styleId="977">
    <w:name w:val="Сетка таблицы13"/>
    <w:basedOn w:val="835"/>
    <w:next w:val="977"/>
    <w:link w:val="830"/>
    <w:rPr>
      <w:rFonts w:ascii="Times New Roman" w:hAnsi="Times New Roman" w:eastAsia="Times New Roman"/>
    </w:rPr>
    <w:tblPr/>
  </w:style>
  <w:style w:type="table" w:styleId="978">
    <w:name w:val="Сетка таблицы112"/>
    <w:basedOn w:val="835"/>
    <w:next w:val="978"/>
    <w:link w:val="830"/>
    <w:uiPriority w:val="59"/>
    <w:tblPr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  <w:style w:type="paragraph" w:styleId="982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</dc:creator>
  <cp:lastModifiedBy>BliznyakovaSY</cp:lastModifiedBy>
  <cp:revision>9</cp:revision>
  <dcterms:created xsi:type="dcterms:W3CDTF">2025-05-28T05:13:00Z</dcterms:created>
  <dcterms:modified xsi:type="dcterms:W3CDTF">2025-10-28T09:23:10Z</dcterms:modified>
</cp:coreProperties>
</file>