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A16" w:rsidRDefault="0056322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2879725</wp:posOffset>
            </wp:positionH>
            <wp:positionV relativeFrom="paragraph">
              <wp:posOffset>-57150</wp:posOffset>
            </wp:positionV>
            <wp:extent cx="647700" cy="88392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br/>
      </w: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70A16" w:rsidRDefault="00670A16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70A16" w:rsidRDefault="0056322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670A16" w:rsidRDefault="0056322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ХАНТЫ-МАНСИЙСКИЙ АВТОНОМНЫЙ ОКРУГ – ЮГРА</w:t>
      </w:r>
    </w:p>
    <w:p w:rsidR="00670A16" w:rsidRDefault="00670A1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670A16" w:rsidRDefault="00670A16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670A16" w:rsidRDefault="0056322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70A16" w:rsidRDefault="0056322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A16" w:rsidRDefault="00563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70A16" w:rsidRDefault="00B4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25 августа 2025 </w:t>
      </w:r>
      <w:r w:rsidR="00563225">
        <w:rPr>
          <w:rFonts w:ascii="Times New Roman" w:hAnsi="Times New Roman"/>
          <w:sz w:val="24"/>
        </w:rPr>
        <w:t>года                                                                                                                 № 566</w:t>
      </w: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70A16" w:rsidRDefault="005632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внесении изменений в приложение к постановлению администрации Белоярского района от 20 июля 2022 года № 680</w:t>
      </w: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A16" w:rsidRDefault="00670A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14 июля 2022 года № 284-ФЗ «</w:t>
      </w:r>
      <w:r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</w:t>
      </w:r>
      <w:r>
        <w:rPr>
          <w:rFonts w:ascii="Times New Roman" w:hAnsi="Times New Roman"/>
          <w:sz w:val="24"/>
          <w:szCs w:val="24"/>
        </w:rPr>
        <w:t>дерации</w:t>
      </w:r>
      <w:r>
        <w:rPr>
          <w:rFonts w:ascii="Times New Roman" w:hAnsi="Times New Roman"/>
          <w:sz w:val="24"/>
        </w:rPr>
        <w:t>», Федеральным законом от 4 августа 2023 года № 430-ФЗ «</w:t>
      </w:r>
      <w:r>
        <w:rPr>
          <w:rFonts w:ascii="Times New Roman" w:hAnsi="Times New Roman"/>
          <w:sz w:val="24"/>
          <w:szCs w:val="24"/>
        </w:rPr>
        <w:t>О внесении изменений в Земельный кодекс Российской Федерации и отдельные законодательные акты Российской Федерации», п о с т а н о в л я ю: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приложение «Административный регламент пр</w:t>
      </w:r>
      <w:r>
        <w:rPr>
          <w:rFonts w:ascii="Times New Roman" w:hAnsi="Times New Roman"/>
          <w:sz w:val="24"/>
          <w:szCs w:val="24"/>
        </w:rPr>
        <w:t>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к постановлению администрации Белоярского района от 20 июля 2022 года № 680 «Об</w:t>
      </w:r>
      <w:r>
        <w:rPr>
          <w:rFonts w:ascii="Times New Roman" w:hAnsi="Times New Roman"/>
          <w:sz w:val="24"/>
          <w:szCs w:val="24"/>
        </w:rPr>
        <w:t xml:space="preserve">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>
        <w:rPr>
          <w:rFonts w:ascii="Times New Roman" w:hAnsi="Times New Roman"/>
          <w:sz w:val="24"/>
        </w:rPr>
        <w:t xml:space="preserve">» следующие изменения: </w:t>
      </w:r>
    </w:p>
    <w:p w:rsidR="00670A16" w:rsidRDefault="0056322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абзац втор</w:t>
      </w:r>
      <w:r>
        <w:rPr>
          <w:rFonts w:ascii="Times New Roman" w:hAnsi="Times New Roman"/>
          <w:sz w:val="24"/>
        </w:rPr>
        <w:t xml:space="preserve">ой пункта 1.4 раздела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«- являющиеся </w:t>
      </w:r>
      <w:r>
        <w:rPr>
          <w:rFonts w:ascii="Times New Roman" w:hAnsi="Times New Roman"/>
          <w:sz w:val="24"/>
          <w:szCs w:val="24"/>
        </w:rPr>
        <w:t>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</w:t>
      </w:r>
      <w:r>
        <w:rPr>
          <w:rFonts w:ascii="Times New Roman" w:hAnsi="Times New Roman"/>
          <w:sz w:val="24"/>
          <w:szCs w:val="24"/>
        </w:rPr>
        <w:t>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(частей);</w:t>
      </w:r>
      <w:r>
        <w:rPr>
          <w:rFonts w:ascii="Times New Roman" w:hAnsi="Times New Roman"/>
          <w:sz w:val="24"/>
        </w:rPr>
        <w:t>»;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абзац четвертый пу</w:t>
      </w:r>
      <w:r>
        <w:rPr>
          <w:rFonts w:ascii="Times New Roman" w:hAnsi="Times New Roman"/>
          <w:sz w:val="24"/>
        </w:rPr>
        <w:t xml:space="preserve">нкта 1.4 раздела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«- являющиеся </w:t>
      </w:r>
      <w:r>
        <w:rPr>
          <w:rFonts w:ascii="Times New Roman" w:hAnsi="Times New Roman"/>
          <w:sz w:val="24"/>
          <w:szCs w:val="24"/>
        </w:rPr>
        <w:t>владельцем инженерного сооружения или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tooltip="https://login.consultant.ru/link/?req=doc&amp;base=LAW&amp;n=495301&amp;dst=2017" w:history="1">
        <w:r>
          <w:rPr>
            <w:rFonts w:ascii="Times New Roman" w:hAnsi="Times New Roman"/>
            <w:color w:val="0000FF"/>
            <w:sz w:val="24"/>
            <w:szCs w:val="24"/>
          </w:rPr>
          <w:t>подпунктах 2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9" w:tooltip="https://login.consultant.ru/link/?req=doc&amp;base=LAW&amp;n=495301&amp;dst=2412" w:history="1">
        <w:r>
          <w:rPr>
            <w:rFonts w:ascii="Times New Roman" w:hAnsi="Times New Roman"/>
            <w:color w:val="0000FF"/>
            <w:sz w:val="24"/>
            <w:szCs w:val="24"/>
          </w:rPr>
          <w:t>6 статьи 39.37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Федерации;</w:t>
      </w:r>
      <w:r>
        <w:rPr>
          <w:rFonts w:ascii="Times New Roman" w:hAnsi="Times New Roman"/>
          <w:sz w:val="24"/>
        </w:rPr>
        <w:t>»;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абзац пятый пункта 1.4 раздела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«- </w:t>
      </w:r>
      <w:r>
        <w:rPr>
          <w:rFonts w:ascii="Times New Roman" w:hAnsi="Times New Roman"/>
          <w:sz w:val="24"/>
          <w:szCs w:val="24"/>
        </w:rPr>
        <w:t xml:space="preserve">предусмотренная </w:t>
      </w:r>
      <w:hyperlink r:id="rId10" w:tooltip="https://login.consultant.ru/link/?req=doc&amp;base=LAW&amp;n=495301&amp;dst=1299" w:history="1">
        <w:r>
          <w:rPr>
            <w:rFonts w:ascii="Times New Roman" w:hAnsi="Times New Roman"/>
            <w:color w:val="0000FF"/>
            <w:sz w:val="24"/>
            <w:szCs w:val="24"/>
          </w:rPr>
          <w:t>пунктом 1 статьи 56.4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 и подавшая ходатайство об изъятии земельного участка для государствен</w:t>
      </w:r>
      <w:r>
        <w:rPr>
          <w:rFonts w:ascii="Times New Roman" w:hAnsi="Times New Roman"/>
          <w:sz w:val="24"/>
          <w:szCs w:val="24"/>
        </w:rPr>
        <w:t xml:space="preserve">ных или муниципальных нужд, - в случае установления сервитута в целях реконструкции инженерного </w:t>
      </w:r>
      <w:r>
        <w:rPr>
          <w:rFonts w:ascii="Times New Roman" w:hAnsi="Times New Roman"/>
          <w:sz w:val="24"/>
          <w:szCs w:val="24"/>
        </w:rPr>
        <w:lastRenderedPageBreak/>
        <w:t>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(части);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 яв</w:t>
      </w:r>
      <w:r>
        <w:rPr>
          <w:rFonts w:ascii="Times New Roman" w:hAnsi="Times New Roman"/>
          <w:sz w:val="24"/>
        </w:rPr>
        <w:t xml:space="preserve">ляющиеся </w:t>
      </w:r>
      <w:r>
        <w:rPr>
          <w:rFonts w:ascii="Times New Roman" w:hAnsi="Times New Roman"/>
          <w:sz w:val="24"/>
          <w:szCs w:val="24"/>
        </w:rPr>
        <w:t xml:space="preserve">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</w:t>
      </w:r>
      <w:r>
        <w:rPr>
          <w:rFonts w:ascii="Times New Roman" w:hAnsi="Times New Roman"/>
          <w:sz w:val="24"/>
          <w:szCs w:val="24"/>
        </w:rPr>
        <w:t>капитального ремонта их частей;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осуществляющие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</w:t>
      </w:r>
      <w:r>
        <w:rPr>
          <w:rFonts w:ascii="Times New Roman" w:hAnsi="Times New Roman"/>
          <w:sz w:val="24"/>
          <w:szCs w:val="24"/>
        </w:rPr>
        <w:t>апитальным ремонтом объектов капитального строительства;</w:t>
      </w:r>
      <w:r>
        <w:rPr>
          <w:rFonts w:ascii="Times New Roman" w:hAnsi="Times New Roman"/>
          <w:sz w:val="24"/>
        </w:rPr>
        <w:t>»;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абзац третий подпункта 2 пункта 2.6 раздела </w:t>
      </w: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«в течение </w:t>
      </w:r>
      <w:r>
        <w:rPr>
          <w:rFonts w:ascii="Times New Roman" w:hAnsi="Times New Roman"/>
          <w:sz w:val="24"/>
          <w:szCs w:val="24"/>
        </w:rPr>
        <w:t>тридцати дней со дня поступления ходатайства об установлении публичного сервитута и прилагаемых к ходатай</w:t>
      </w:r>
      <w:r>
        <w:rPr>
          <w:rFonts w:ascii="Times New Roman" w:hAnsi="Times New Roman"/>
          <w:sz w:val="24"/>
          <w:szCs w:val="24"/>
        </w:rPr>
        <w:t xml:space="preserve">ству документов в целях, предусмотренных </w:t>
      </w:r>
      <w:hyperlink r:id="rId11" w:tooltip="https://login.consultant.ru/link/?req=doc&amp;base=LAW&amp;n=495301&amp;dst=2411" w:history="1">
        <w:r>
          <w:rPr>
            <w:rFonts w:ascii="Times New Roman" w:hAnsi="Times New Roman"/>
            <w:color w:val="0000FF"/>
            <w:sz w:val="24"/>
            <w:szCs w:val="24"/>
          </w:rPr>
          <w:t>подпунктами 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" w:tooltip="https://login.consultant.ru/link/?req=doc&amp;base=LAW&amp;n=495301&amp;dst=2017" w:history="1">
        <w:r>
          <w:rPr>
            <w:rFonts w:ascii="Times New Roman" w:hAnsi="Times New Roman"/>
            <w:color w:val="0000FF"/>
            <w:sz w:val="24"/>
            <w:szCs w:val="24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3" w:tooltip="https://login.consultant.ru/link/?req=doc&amp;base=LAW&amp;n=495301&amp;dst=2019" w:history="1">
        <w:r>
          <w:rPr>
            <w:rFonts w:ascii="Times New Roman" w:hAnsi="Times New Roman"/>
            <w:color w:val="0000FF"/>
            <w:sz w:val="24"/>
            <w:szCs w:val="24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4" w:tooltip="https://login.consultant.ru/link/?req=doc&amp;base=LAW&amp;n=495301&amp;dst=2557" w:history="1">
        <w:r>
          <w:rPr>
            <w:rFonts w:ascii="Times New Roman" w:hAnsi="Times New Roman"/>
            <w:color w:val="0000FF"/>
            <w:sz w:val="24"/>
            <w:szCs w:val="24"/>
          </w:rPr>
          <w:t>4.1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5" w:tooltip="https://login.consultant.ru/link/?req=doc&amp;base=LAW&amp;n=495301&amp;dst=2020" w:history="1">
        <w:r>
          <w:rPr>
            <w:rFonts w:ascii="Times New Roman" w:hAnsi="Times New Roman"/>
            <w:color w:val="0000FF"/>
            <w:sz w:val="24"/>
            <w:szCs w:val="24"/>
          </w:rPr>
          <w:t>5 статьи 39.37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а также в целях установления публичного сервитута для реконструкции участков (частей) инженерных сооружен</w:t>
      </w:r>
      <w:r>
        <w:rPr>
          <w:rFonts w:ascii="Times New Roman" w:hAnsi="Times New Roman"/>
          <w:sz w:val="24"/>
          <w:szCs w:val="24"/>
        </w:rPr>
        <w:t xml:space="preserve">ий, предусмотренного </w:t>
      </w:r>
      <w:hyperlink r:id="rId16" w:tooltip="https://login.consultant.ru/link/?req=doc&amp;base=LAW&amp;n=495301&amp;dst=2412" w:history="1">
        <w:r>
          <w:rPr>
            <w:rFonts w:ascii="Times New Roman" w:hAnsi="Times New Roman"/>
            <w:color w:val="0000FF"/>
            <w:sz w:val="24"/>
            <w:szCs w:val="24"/>
          </w:rPr>
          <w:t>подпунктом 6 статьи 39.37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но не ранее чем пятнадцать дней со дня опубликования сообщения о поступившем ходатайстве об установлении публичного сервитута, предусмотренного </w:t>
      </w:r>
      <w:hyperlink r:id="rId17" w:tooltip="https://login.consultant.ru/link/?req=doc&amp;base=LAW&amp;n=495301&amp;dst=2085" w:history="1">
        <w:r>
          <w:rPr>
            <w:rFonts w:ascii="Times New Roman" w:hAnsi="Times New Roman"/>
            <w:color w:val="0000FF"/>
            <w:sz w:val="24"/>
            <w:szCs w:val="24"/>
          </w:rPr>
          <w:t>подпунктом 1 пункта 3 статьи 39.42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 (за исключением случая, предусмотренного </w:t>
      </w:r>
      <w:hyperlink r:id="rId18" w:tooltip="https://login.consultant.ru/link/?req=doc&amp;base=LAW&amp;n=495301&amp;dst=2581" w:history="1">
        <w:r>
          <w:rPr>
            <w:rFonts w:ascii="Times New Roman" w:hAnsi="Times New Roman"/>
            <w:color w:val="0000FF"/>
            <w:sz w:val="24"/>
            <w:szCs w:val="24"/>
          </w:rPr>
          <w:t>пунктом 10 статьи 39.42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Федерации)</w:t>
      </w:r>
      <w:r>
        <w:rPr>
          <w:rFonts w:ascii="Times New Roman" w:hAnsi="Times New Roman"/>
          <w:sz w:val="24"/>
        </w:rPr>
        <w:t>.»;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5) в подпункте 4 пункта 2.17 раздела </w:t>
      </w: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 «садоводства, огородничества» заме</w:t>
      </w:r>
      <w:r>
        <w:rPr>
          <w:rFonts w:ascii="Times New Roman" w:hAnsi="Times New Roman"/>
          <w:sz w:val="24"/>
          <w:szCs w:val="24"/>
        </w:rPr>
        <w:t>нить словами «гражданами садоводства или огородничества для собственных нужд»;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6) подпункт 6 пункта 2.17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«6) границы публичного сервитута не соответствуют предусмотренной документацией по планировке территории зоне</w:t>
      </w:r>
      <w:r>
        <w:rPr>
          <w:rFonts w:ascii="Times New Roman" w:hAnsi="Times New Roman"/>
          <w:sz w:val="24"/>
          <w:szCs w:val="24"/>
        </w:rPr>
        <w:t xml:space="preserve">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19" w:tooltip="https://login.consultant.ru/link/?req=doc&amp;base=LAW&amp;n=495301&amp;dst=2411" w:history="1">
        <w:r>
          <w:rPr>
            <w:rFonts w:ascii="Times New Roman" w:hAnsi="Times New Roman"/>
            <w:color w:val="0000FF"/>
            <w:sz w:val="24"/>
            <w:szCs w:val="24"/>
          </w:rPr>
          <w:t>подпунктами 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0" w:tooltip="https://login.consultant.ru/link/?req=doc&amp;base=LAW&amp;n=495301&amp;dst=2018" w:history="1">
        <w:r>
          <w:rPr>
            <w:rFonts w:ascii="Times New Roman" w:hAnsi="Times New Roman"/>
            <w:color w:val="0000FF"/>
            <w:sz w:val="24"/>
            <w:szCs w:val="24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21" w:tooltip="https://login.consultant.ru/link/?req=doc&amp;base=LAW&amp;n=495301&amp;dst=2557" w:history="1">
        <w:r>
          <w:rPr>
            <w:rFonts w:ascii="Times New Roman" w:hAnsi="Times New Roman"/>
            <w:color w:val="0000FF"/>
            <w:sz w:val="24"/>
            <w:szCs w:val="24"/>
          </w:rPr>
          <w:t>4.1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22" w:tooltip="https://login.consultant.ru/link/?req=doc&amp;base=LAW&amp;n=495301&amp;dst=2412" w:history="1">
        <w:r>
          <w:rPr>
            <w:rFonts w:ascii="Times New Roman" w:hAnsi="Times New Roman"/>
            <w:color w:val="0000FF"/>
            <w:sz w:val="24"/>
            <w:szCs w:val="24"/>
          </w:rPr>
          <w:t>6 статьи 39.37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за исключением случая установления публичного сервитута в целях капитального ремонта инженерных сооружений, являющихся линейными объектам</w:t>
      </w:r>
      <w:r>
        <w:rPr>
          <w:rFonts w:ascii="Times New Roman" w:hAnsi="Times New Roman"/>
          <w:sz w:val="24"/>
          <w:szCs w:val="24"/>
        </w:rPr>
        <w:t>и, а также в целях капитального ремонта участков (частей) таких инженерных сооружений;»;</w:t>
      </w:r>
    </w:p>
    <w:p w:rsidR="00670A16" w:rsidRDefault="00563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в абзаце втором пункта 2.23 раздела </w:t>
      </w: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 слова «</w:t>
      </w:r>
      <w:r>
        <w:rPr>
          <w:rFonts w:ascii="Times New Roman" w:hAnsi="Times New Roman"/>
          <w:sz w:val="24"/>
          <w:szCs w:val="24"/>
        </w:rPr>
        <w:t>правилам пожарной безопасности</w:t>
      </w:r>
      <w:r>
        <w:rPr>
          <w:rFonts w:ascii="Times New Roman" w:hAnsi="Times New Roman"/>
          <w:sz w:val="24"/>
        </w:rPr>
        <w:t>» заменить словами «</w:t>
      </w:r>
      <w:r>
        <w:rPr>
          <w:rFonts w:ascii="Times New Roman" w:hAnsi="Times New Roman"/>
          <w:sz w:val="24"/>
          <w:szCs w:val="24"/>
        </w:rPr>
        <w:t>правилам противопожарного режима</w:t>
      </w:r>
      <w:r>
        <w:rPr>
          <w:rFonts w:ascii="Times New Roman" w:hAnsi="Times New Roman"/>
          <w:sz w:val="24"/>
        </w:rPr>
        <w:t>».</w:t>
      </w:r>
    </w:p>
    <w:p w:rsidR="00670A16" w:rsidRDefault="00563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2. Опубликовать настоящее постано</w:t>
      </w:r>
      <w:r>
        <w:rPr>
          <w:rFonts w:ascii="Times New Roman" w:hAnsi="Times New Roman"/>
          <w:sz w:val="24"/>
        </w:rPr>
        <w:t xml:space="preserve">вление в газете «Белоярские вести. Официальный выпуск». </w:t>
      </w:r>
    </w:p>
    <w:p w:rsidR="00670A16" w:rsidRDefault="00563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</w:rPr>
        <w:t>Настоящее постановление вступает в силу после его официального опубликования.</w:t>
      </w:r>
    </w:p>
    <w:p w:rsidR="00670A16" w:rsidRDefault="00563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Гайворонского А.В.</w:t>
      </w:r>
    </w:p>
    <w:p w:rsidR="00B4159C" w:rsidRDefault="00B4159C" w:rsidP="00B4159C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59C" w:rsidRDefault="00B4159C" w:rsidP="00B4159C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59C" w:rsidRDefault="00B4159C" w:rsidP="00B4159C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59C" w:rsidRDefault="00B4159C" w:rsidP="00B4159C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B4159C" w:rsidRDefault="00B4159C" w:rsidP="00B4159C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Белоярского района                                                                                   А.В.Ойнец</w:t>
      </w:r>
    </w:p>
    <w:bookmarkEnd w:id="0"/>
    <w:p w:rsidR="00670A16" w:rsidRDefault="00670A1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70A16" w:rsidRDefault="00670A1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70A16" w:rsidRDefault="00670A16">
      <w:pPr>
        <w:tabs>
          <w:tab w:val="left" w:pos="2610"/>
        </w:tabs>
        <w:spacing w:after="164" w:line="130" w:lineRule="exact"/>
        <w:rPr>
          <w:rFonts w:ascii="Times New Roman" w:hAnsi="Times New Roman"/>
          <w:sz w:val="24"/>
          <w:szCs w:val="24"/>
        </w:rPr>
      </w:pPr>
    </w:p>
    <w:sectPr w:rsidR="00670A16">
      <w:headerReference w:type="default" r:id="rId23"/>
      <w:pgSz w:w="11906" w:h="16838"/>
      <w:pgMar w:top="851" w:right="567" w:bottom="964" w:left="1418" w:header="284" w:footer="12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225" w:rsidRDefault="00563225">
      <w:pPr>
        <w:spacing w:after="0" w:line="240" w:lineRule="auto"/>
      </w:pPr>
      <w:r>
        <w:separator/>
      </w:r>
    </w:p>
  </w:endnote>
  <w:endnote w:type="continuationSeparator" w:id="0">
    <w:p w:rsidR="00563225" w:rsidRDefault="0056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225" w:rsidRDefault="00563225">
      <w:pPr>
        <w:spacing w:after="0" w:line="240" w:lineRule="auto"/>
      </w:pPr>
      <w:r>
        <w:separator/>
      </w:r>
    </w:p>
  </w:footnote>
  <w:footnote w:type="continuationSeparator" w:id="0">
    <w:p w:rsidR="00563225" w:rsidRDefault="0056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A16" w:rsidRDefault="00670A16">
    <w:pPr>
      <w:pStyle w:val="af5"/>
      <w:jc w:val="center"/>
    </w:pPr>
  </w:p>
  <w:p w:rsidR="00670A16" w:rsidRDefault="00563225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59C">
      <w:rPr>
        <w:noProof/>
      </w:rPr>
      <w:t>2</w:t>
    </w:r>
    <w:r>
      <w:fldChar w:fldCharType="end"/>
    </w:r>
  </w:p>
  <w:p w:rsidR="00670A16" w:rsidRDefault="00670A16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F52"/>
    <w:multiLevelType w:val="hybridMultilevel"/>
    <w:tmpl w:val="2AE88BE2"/>
    <w:lvl w:ilvl="0" w:tplc="D9ECCC12">
      <w:start w:val="1"/>
      <w:numFmt w:val="decimal"/>
      <w:lvlText w:val="%1)"/>
      <w:lvlJc w:val="left"/>
      <w:pPr>
        <w:ind w:left="1080" w:hanging="360"/>
      </w:pPr>
    </w:lvl>
    <w:lvl w:ilvl="1" w:tplc="680E402C">
      <w:start w:val="1"/>
      <w:numFmt w:val="lowerLetter"/>
      <w:lvlText w:val="%2."/>
      <w:lvlJc w:val="left"/>
      <w:pPr>
        <w:ind w:left="1800" w:hanging="360"/>
      </w:pPr>
    </w:lvl>
    <w:lvl w:ilvl="2" w:tplc="3FFC198E">
      <w:start w:val="1"/>
      <w:numFmt w:val="lowerRoman"/>
      <w:lvlText w:val="%3."/>
      <w:lvlJc w:val="right"/>
      <w:pPr>
        <w:ind w:left="2520" w:hanging="180"/>
      </w:pPr>
    </w:lvl>
    <w:lvl w:ilvl="3" w:tplc="AA8400AC">
      <w:start w:val="1"/>
      <w:numFmt w:val="decimal"/>
      <w:lvlText w:val="%4."/>
      <w:lvlJc w:val="left"/>
      <w:pPr>
        <w:ind w:left="3240" w:hanging="360"/>
      </w:pPr>
    </w:lvl>
    <w:lvl w:ilvl="4" w:tplc="2C6C7106">
      <w:start w:val="1"/>
      <w:numFmt w:val="lowerLetter"/>
      <w:lvlText w:val="%5."/>
      <w:lvlJc w:val="left"/>
      <w:pPr>
        <w:ind w:left="3960" w:hanging="360"/>
      </w:pPr>
    </w:lvl>
    <w:lvl w:ilvl="5" w:tplc="4EEAF53C">
      <w:start w:val="1"/>
      <w:numFmt w:val="lowerRoman"/>
      <w:lvlText w:val="%6."/>
      <w:lvlJc w:val="right"/>
      <w:pPr>
        <w:ind w:left="4680" w:hanging="180"/>
      </w:pPr>
    </w:lvl>
    <w:lvl w:ilvl="6" w:tplc="84DA3BDE">
      <w:start w:val="1"/>
      <w:numFmt w:val="decimal"/>
      <w:lvlText w:val="%7."/>
      <w:lvlJc w:val="left"/>
      <w:pPr>
        <w:ind w:left="5400" w:hanging="360"/>
      </w:pPr>
    </w:lvl>
    <w:lvl w:ilvl="7" w:tplc="2A86DE56">
      <w:start w:val="1"/>
      <w:numFmt w:val="lowerLetter"/>
      <w:lvlText w:val="%8."/>
      <w:lvlJc w:val="left"/>
      <w:pPr>
        <w:ind w:left="6120" w:hanging="360"/>
      </w:pPr>
    </w:lvl>
    <w:lvl w:ilvl="8" w:tplc="3FEC8E4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B1DAA"/>
    <w:multiLevelType w:val="hybridMultilevel"/>
    <w:tmpl w:val="4F609A5A"/>
    <w:lvl w:ilvl="0" w:tplc="F5EC0636">
      <w:start w:val="1"/>
      <w:numFmt w:val="decimal"/>
      <w:lvlText w:val="%1."/>
      <w:lvlJc w:val="left"/>
      <w:pPr>
        <w:ind w:left="1069" w:hanging="360"/>
      </w:pPr>
    </w:lvl>
    <w:lvl w:ilvl="1" w:tplc="94CE27F6">
      <w:start w:val="1"/>
      <w:numFmt w:val="lowerLetter"/>
      <w:lvlText w:val="%2."/>
      <w:lvlJc w:val="left"/>
      <w:pPr>
        <w:ind w:left="1789" w:hanging="360"/>
      </w:pPr>
    </w:lvl>
    <w:lvl w:ilvl="2" w:tplc="4B102F70">
      <w:start w:val="1"/>
      <w:numFmt w:val="lowerRoman"/>
      <w:lvlText w:val="%3."/>
      <w:lvlJc w:val="right"/>
      <w:pPr>
        <w:ind w:left="2509" w:hanging="180"/>
      </w:pPr>
    </w:lvl>
    <w:lvl w:ilvl="3" w:tplc="276CBD0C">
      <w:start w:val="1"/>
      <w:numFmt w:val="decimal"/>
      <w:lvlText w:val="%4."/>
      <w:lvlJc w:val="left"/>
      <w:pPr>
        <w:ind w:left="3229" w:hanging="360"/>
      </w:pPr>
    </w:lvl>
    <w:lvl w:ilvl="4" w:tplc="F468FDDA">
      <w:start w:val="1"/>
      <w:numFmt w:val="lowerLetter"/>
      <w:lvlText w:val="%5."/>
      <w:lvlJc w:val="left"/>
      <w:pPr>
        <w:ind w:left="3949" w:hanging="360"/>
      </w:pPr>
    </w:lvl>
    <w:lvl w:ilvl="5" w:tplc="2482DC1A">
      <w:start w:val="1"/>
      <w:numFmt w:val="lowerRoman"/>
      <w:lvlText w:val="%6."/>
      <w:lvlJc w:val="right"/>
      <w:pPr>
        <w:ind w:left="4669" w:hanging="180"/>
      </w:pPr>
    </w:lvl>
    <w:lvl w:ilvl="6" w:tplc="56C8BD9E">
      <w:start w:val="1"/>
      <w:numFmt w:val="decimal"/>
      <w:lvlText w:val="%7."/>
      <w:lvlJc w:val="left"/>
      <w:pPr>
        <w:ind w:left="5389" w:hanging="360"/>
      </w:pPr>
    </w:lvl>
    <w:lvl w:ilvl="7" w:tplc="CF9E6728">
      <w:start w:val="1"/>
      <w:numFmt w:val="lowerLetter"/>
      <w:lvlText w:val="%8."/>
      <w:lvlJc w:val="left"/>
      <w:pPr>
        <w:ind w:left="6109" w:hanging="360"/>
      </w:pPr>
    </w:lvl>
    <w:lvl w:ilvl="8" w:tplc="0ADABEC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E19DB"/>
    <w:multiLevelType w:val="hybridMultilevel"/>
    <w:tmpl w:val="5B5E98C0"/>
    <w:lvl w:ilvl="0" w:tplc="8642F604">
      <w:start w:val="1"/>
      <w:numFmt w:val="decimal"/>
      <w:lvlText w:val="%1."/>
      <w:lvlJc w:val="left"/>
      <w:pPr>
        <w:ind w:left="1069" w:hanging="360"/>
      </w:pPr>
    </w:lvl>
    <w:lvl w:ilvl="1" w:tplc="B62A0408">
      <w:start w:val="1"/>
      <w:numFmt w:val="lowerLetter"/>
      <w:lvlText w:val="%2."/>
      <w:lvlJc w:val="left"/>
      <w:pPr>
        <w:ind w:left="1789" w:hanging="360"/>
      </w:pPr>
    </w:lvl>
    <w:lvl w:ilvl="2" w:tplc="F76C742E">
      <w:start w:val="1"/>
      <w:numFmt w:val="lowerRoman"/>
      <w:lvlText w:val="%3."/>
      <w:lvlJc w:val="right"/>
      <w:pPr>
        <w:ind w:left="2509" w:hanging="180"/>
      </w:pPr>
    </w:lvl>
    <w:lvl w:ilvl="3" w:tplc="8C6A20BE">
      <w:start w:val="1"/>
      <w:numFmt w:val="decimal"/>
      <w:lvlText w:val="%4."/>
      <w:lvlJc w:val="left"/>
      <w:pPr>
        <w:ind w:left="3229" w:hanging="360"/>
      </w:pPr>
    </w:lvl>
    <w:lvl w:ilvl="4" w:tplc="79F8BECA">
      <w:start w:val="1"/>
      <w:numFmt w:val="lowerLetter"/>
      <w:lvlText w:val="%5."/>
      <w:lvlJc w:val="left"/>
      <w:pPr>
        <w:ind w:left="3949" w:hanging="360"/>
      </w:pPr>
    </w:lvl>
    <w:lvl w:ilvl="5" w:tplc="C4EC2172">
      <w:start w:val="1"/>
      <w:numFmt w:val="lowerRoman"/>
      <w:lvlText w:val="%6."/>
      <w:lvlJc w:val="right"/>
      <w:pPr>
        <w:ind w:left="4669" w:hanging="180"/>
      </w:pPr>
    </w:lvl>
    <w:lvl w:ilvl="6" w:tplc="73200AF0">
      <w:start w:val="1"/>
      <w:numFmt w:val="decimal"/>
      <w:lvlText w:val="%7."/>
      <w:lvlJc w:val="left"/>
      <w:pPr>
        <w:ind w:left="5389" w:hanging="360"/>
      </w:pPr>
    </w:lvl>
    <w:lvl w:ilvl="7" w:tplc="D2BCED9A">
      <w:start w:val="1"/>
      <w:numFmt w:val="lowerLetter"/>
      <w:lvlText w:val="%8."/>
      <w:lvlJc w:val="left"/>
      <w:pPr>
        <w:ind w:left="6109" w:hanging="360"/>
      </w:pPr>
    </w:lvl>
    <w:lvl w:ilvl="8" w:tplc="C19043D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791CA3"/>
    <w:multiLevelType w:val="hybridMultilevel"/>
    <w:tmpl w:val="95544978"/>
    <w:lvl w:ilvl="0" w:tplc="D86679C6">
      <w:start w:val="1"/>
      <w:numFmt w:val="decimal"/>
      <w:lvlText w:val="%1)"/>
      <w:lvlJc w:val="left"/>
      <w:pPr>
        <w:ind w:left="1080" w:hanging="360"/>
      </w:pPr>
    </w:lvl>
    <w:lvl w:ilvl="1" w:tplc="3572C21E">
      <w:start w:val="1"/>
      <w:numFmt w:val="lowerLetter"/>
      <w:lvlText w:val="%2."/>
      <w:lvlJc w:val="left"/>
      <w:pPr>
        <w:ind w:left="1800" w:hanging="360"/>
      </w:pPr>
    </w:lvl>
    <w:lvl w:ilvl="2" w:tplc="B586649A">
      <w:start w:val="1"/>
      <w:numFmt w:val="lowerRoman"/>
      <w:lvlText w:val="%3."/>
      <w:lvlJc w:val="right"/>
      <w:pPr>
        <w:ind w:left="2520" w:hanging="180"/>
      </w:pPr>
    </w:lvl>
    <w:lvl w:ilvl="3" w:tplc="C0AC258A">
      <w:start w:val="1"/>
      <w:numFmt w:val="decimal"/>
      <w:lvlText w:val="%4."/>
      <w:lvlJc w:val="left"/>
      <w:pPr>
        <w:ind w:left="3240" w:hanging="360"/>
      </w:pPr>
    </w:lvl>
    <w:lvl w:ilvl="4" w:tplc="ACBC17D0">
      <w:start w:val="1"/>
      <w:numFmt w:val="lowerLetter"/>
      <w:lvlText w:val="%5."/>
      <w:lvlJc w:val="left"/>
      <w:pPr>
        <w:ind w:left="3960" w:hanging="360"/>
      </w:pPr>
    </w:lvl>
    <w:lvl w:ilvl="5" w:tplc="DD2A3712">
      <w:start w:val="1"/>
      <w:numFmt w:val="lowerRoman"/>
      <w:lvlText w:val="%6."/>
      <w:lvlJc w:val="right"/>
      <w:pPr>
        <w:ind w:left="4680" w:hanging="180"/>
      </w:pPr>
    </w:lvl>
    <w:lvl w:ilvl="6" w:tplc="326A5524">
      <w:start w:val="1"/>
      <w:numFmt w:val="decimal"/>
      <w:lvlText w:val="%7."/>
      <w:lvlJc w:val="left"/>
      <w:pPr>
        <w:ind w:left="5400" w:hanging="360"/>
      </w:pPr>
    </w:lvl>
    <w:lvl w:ilvl="7" w:tplc="A1663C92">
      <w:start w:val="1"/>
      <w:numFmt w:val="lowerLetter"/>
      <w:lvlText w:val="%8."/>
      <w:lvlJc w:val="left"/>
      <w:pPr>
        <w:ind w:left="6120" w:hanging="360"/>
      </w:pPr>
    </w:lvl>
    <w:lvl w:ilvl="8" w:tplc="1E6097D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16"/>
    <w:rsid w:val="00563225"/>
    <w:rsid w:val="00670A16"/>
    <w:rsid w:val="00B4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B766"/>
  <w15:docId w15:val="{4FA43FF4-16CD-4C6B-9EA4-ABAF9E11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f7">
    <w:name w:val="Balloon Text"/>
    <w:basedOn w:val="a"/>
    <w:link w:val="af8"/>
    <w:semiHidden/>
    <w:pPr>
      <w:spacing w:after="0" w:line="240" w:lineRule="auto"/>
    </w:pPr>
    <w:rPr>
      <w:rFonts w:ascii="Segoe UI" w:hAnsi="Segoe UI"/>
      <w:sz w:val="18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  <w:spacing w:after="0" w:line="240" w:lineRule="auto"/>
    </w:pPr>
  </w:style>
  <w:style w:type="character" w:styleId="afc">
    <w:name w:val="line number"/>
    <w:basedOn w:val="a0"/>
    <w:semiHidden/>
  </w:style>
  <w:style w:type="character" w:styleId="afd">
    <w:name w:val="Hyperlink"/>
    <w:rPr>
      <w:color w:val="0000FF"/>
      <w:u w:val="single"/>
    </w:rPr>
  </w:style>
  <w:style w:type="character" w:customStyle="1" w:styleId="af6">
    <w:name w:val="Верхний колонтитул Знак"/>
    <w:basedOn w:val="a0"/>
    <w:link w:val="af5"/>
    <w:rPr>
      <w:rFonts w:ascii="Times New Roman" w:hAnsi="Times New Roman"/>
      <w:sz w:val="24"/>
    </w:rPr>
  </w:style>
  <w:style w:type="character" w:customStyle="1" w:styleId="af8">
    <w:name w:val="Текст выноски Знак"/>
    <w:basedOn w:val="a0"/>
    <w:link w:val="af7"/>
    <w:semiHidden/>
    <w:rPr>
      <w:rFonts w:ascii="Segoe UI" w:hAnsi="Segoe UI"/>
      <w:sz w:val="18"/>
    </w:rPr>
  </w:style>
  <w:style w:type="character" w:customStyle="1" w:styleId="afb">
    <w:name w:val="Нижний колонтитул Знак"/>
    <w:basedOn w:val="a0"/>
    <w:link w:val="afa"/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01&amp;dst=2017" TargetMode="External"/><Relationship Id="rId13" Type="http://schemas.openxmlformats.org/officeDocument/2006/relationships/hyperlink" Target="https://login.consultant.ru/link/?req=doc&amp;base=LAW&amp;n=495301&amp;dst=2019" TargetMode="External"/><Relationship Id="rId18" Type="http://schemas.openxmlformats.org/officeDocument/2006/relationships/hyperlink" Target="https://login.consultant.ru/link/?req=doc&amp;base=LAW&amp;n=495301&amp;dst=25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5301&amp;dst=2557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95301&amp;dst=2017" TargetMode="External"/><Relationship Id="rId17" Type="http://schemas.openxmlformats.org/officeDocument/2006/relationships/hyperlink" Target="https://login.consultant.ru/link/?req=doc&amp;base=LAW&amp;n=495301&amp;dst=208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301&amp;dst=2412" TargetMode="External"/><Relationship Id="rId20" Type="http://schemas.openxmlformats.org/officeDocument/2006/relationships/hyperlink" Target="https://login.consultant.ru/link/?req=doc&amp;base=LAW&amp;n=495301&amp;dst=20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301&amp;dst=241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301&amp;dst=202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5301&amp;dst=1299" TargetMode="External"/><Relationship Id="rId19" Type="http://schemas.openxmlformats.org/officeDocument/2006/relationships/hyperlink" Target="https://login.consultant.ru/link/?req=doc&amp;base=LAW&amp;n=495301&amp;dst=24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301&amp;dst=2412" TargetMode="External"/><Relationship Id="rId14" Type="http://schemas.openxmlformats.org/officeDocument/2006/relationships/hyperlink" Target="https://login.consultant.ru/link/?req=doc&amp;base=LAW&amp;n=495301&amp;dst=2557" TargetMode="External"/><Relationship Id="rId22" Type="http://schemas.openxmlformats.org/officeDocument/2006/relationships/hyperlink" Target="https://login.consultant.ru/link/?req=doc&amp;base=LAW&amp;n=495301&amp;dst=2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1189</Words>
  <Characters>6779</Characters>
  <Application>Microsoft Office Word</Application>
  <DocSecurity>0</DocSecurity>
  <Lines>56</Lines>
  <Paragraphs>15</Paragraphs>
  <ScaleCrop>false</ScaleCrop>
  <Company>Прокуратура РФ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Русак В.С.</cp:lastModifiedBy>
  <cp:revision>10</cp:revision>
  <dcterms:created xsi:type="dcterms:W3CDTF">2025-07-30T12:34:00Z</dcterms:created>
  <dcterms:modified xsi:type="dcterms:W3CDTF">2025-08-25T10:40:00Z</dcterms:modified>
</cp:coreProperties>
</file>