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</w:t>
      </w:r>
    </w:p>
    <w:p>
      <w:pPr>
        <w:ind w:firstLine="709"/>
        <w:jc w:val="center"/>
        <w:rPr>
          <w:b/>
        </w:rPr>
      </w:pPr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</w:p>
    <w:p>
      <w:pPr>
        <w:pStyle w:val="3"/>
        <w:jc w:val="right"/>
        <w:rPr>
          <w:b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pStyle w:val="2"/>
      </w:pPr>
      <w:r>
        <w:t>РАСПОРЯЖЕНИЕ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11"/>
        <w:jc w:val="both"/>
      </w:pPr>
      <w:r>
        <w:t xml:space="preserve"> от </w:t>
      </w:r>
      <w:r>
        <w:rPr>
          <w:rFonts w:hint="default"/>
          <w:lang w:val="ru-RU"/>
        </w:rPr>
        <w:t xml:space="preserve">23 </w:t>
      </w:r>
      <w:r>
        <w:rPr>
          <w:lang w:val="ru-RU"/>
        </w:rPr>
        <w:t>января</w:t>
      </w:r>
      <w:r>
        <w:rPr>
          <w:rFonts w:hint="default"/>
          <w:lang w:val="ru-RU"/>
        </w:rPr>
        <w:t xml:space="preserve"> </w:t>
      </w:r>
      <w:r>
        <w:t>20</w:t>
      </w:r>
      <w:r>
        <w:rPr>
          <w:rFonts w:hint="default"/>
          <w:lang w:val="ru-RU"/>
        </w:rPr>
        <w:t xml:space="preserve">18 </w:t>
      </w:r>
      <w:r>
        <w:t xml:space="preserve">года                                                                           </w:t>
      </w:r>
      <w:r>
        <w:rPr>
          <w:rFonts w:hint="default"/>
          <w:lang w:val="ru-RU"/>
        </w:rPr>
        <w:t xml:space="preserve">          </w:t>
      </w:r>
      <w:r>
        <w:t xml:space="preserve">                      №</w:t>
      </w:r>
      <w:r>
        <w:rPr>
          <w:rFonts w:hint="default"/>
          <w:lang w:val="ru-RU"/>
        </w:rPr>
        <w:t>16-р</w:t>
      </w:r>
      <w:r>
        <w:t xml:space="preserve"> </w:t>
      </w:r>
    </w:p>
    <w:p>
      <w:pPr>
        <w:spacing w:line="360" w:lineRule="auto"/>
        <w:ind w:left="181"/>
        <w:jc w:val="center"/>
        <w:rPr>
          <w:b/>
          <w:sz w:val="24"/>
          <w:szCs w:val="24"/>
        </w:rPr>
      </w:pPr>
    </w:p>
    <w:p>
      <w:pPr>
        <w:pStyle w:val="11"/>
        <w:ind w:firstLine="709"/>
        <w:jc w:val="center"/>
        <w:rPr>
          <w:rFonts w:hint="default"/>
          <w:b/>
          <w:bCs w:val="0"/>
          <w:sz w:val="24"/>
          <w:szCs w:val="24"/>
        </w:rPr>
      </w:pPr>
      <w:r>
        <w:rPr>
          <w:rFonts w:hint="default"/>
          <w:b/>
          <w:bCs w:val="0"/>
          <w:sz w:val="24"/>
          <w:szCs w:val="24"/>
        </w:rPr>
        <w:t>О порядке организации сопровождения</w:t>
      </w:r>
    </w:p>
    <w:p>
      <w:pPr>
        <w:pStyle w:val="11"/>
        <w:ind w:firstLine="709"/>
        <w:jc w:val="center"/>
        <w:rPr>
          <w:rFonts w:hint="default"/>
          <w:b/>
          <w:bCs w:val="0"/>
          <w:sz w:val="24"/>
          <w:szCs w:val="24"/>
        </w:rPr>
      </w:pPr>
      <w:r>
        <w:rPr>
          <w:rFonts w:hint="default"/>
          <w:b/>
          <w:bCs w:val="0"/>
          <w:sz w:val="24"/>
          <w:szCs w:val="24"/>
        </w:rPr>
        <w:t>инвестиционных проектов в администрации Белоярского района</w:t>
      </w:r>
    </w:p>
    <w:p>
      <w:pPr>
        <w:pStyle w:val="11"/>
        <w:ind w:firstLine="709"/>
        <w:jc w:val="center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(изм. от 23.01.2023г. № 5-р)</w:t>
      </w:r>
    </w:p>
    <w:p>
      <w:pPr>
        <w:pStyle w:val="11"/>
        <w:ind w:firstLine="709"/>
        <w:jc w:val="center"/>
        <w:rPr>
          <w:rFonts w:hint="default"/>
          <w:b/>
          <w:bCs w:val="0"/>
          <w:sz w:val="24"/>
          <w:szCs w:val="24"/>
        </w:rPr>
      </w:pP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</w:rPr>
        <w:t>На основании пункта 2 постановления Правительства Ханты-Мансийского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автономного округа – Югры от 27 декабря 2013 года № 590-п «О Регламенте по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сопровождению инвестиционных проектов в Ханты – Мансийском автономном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округе - Югре»:</w:t>
      </w: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</w:rPr>
        <w:t>1. Организовать сопровождение инвестиционных проектов в администрации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Белоярского района согласно Регламенту по сопровождению инвестиционных проектов в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Ханты–Мансийском автономном округе – Югре, утвержденному постановлением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Правительства Ханты-Мансийского автономного округа – Югры от 27 декабря 2013 года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№ 590-п «О Регламенте по сопровождению инвестиционных проектов в Ханты–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Мансийском автономном округе - Югре».</w:t>
      </w: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</w:rPr>
        <w:t>2. Утвердить прилагаемый порядок организации сопровождения инвестиционных</w:t>
      </w:r>
    </w:p>
    <w:p>
      <w:pPr>
        <w:pStyle w:val="11"/>
        <w:ind w:left="0" w:leftChars="0" w:firstLine="0" w:firstLineChars="0"/>
        <w:jc w:val="both"/>
        <w:rPr>
          <w:rFonts w:hint="default"/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</w:rPr>
        <w:t>проектов в администрации Белоярского района.</w:t>
      </w: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</w:rPr>
        <w:t>3. Настоящее распоряжение вступает в силу после подписания.</w:t>
      </w: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</w:rPr>
        <w:t>4..Контроль за выполнением распоряжения возложить на заместителя главы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>Белоярского района, председателя Комитета по финансам и налоговой политике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/>
          <w:b w:val="0"/>
          <w:bCs/>
          <w:sz w:val="24"/>
          <w:szCs w:val="24"/>
        </w:rPr>
        <w:t xml:space="preserve">администрации Белоярского района </w:t>
      </w:r>
      <w:r>
        <w:rPr>
          <w:rFonts w:hint="default"/>
          <w:b w:val="0"/>
          <w:bCs/>
          <w:sz w:val="24"/>
          <w:szCs w:val="24"/>
          <w:lang w:val="ru-RU"/>
        </w:rPr>
        <w:t>Плохих И.А.</w:t>
      </w: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  <w:lang w:val="ru-RU"/>
        </w:rPr>
      </w:pP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  <w:lang w:val="ru-RU"/>
        </w:rPr>
      </w:pPr>
    </w:p>
    <w:p>
      <w:pPr>
        <w:pStyle w:val="11"/>
        <w:ind w:left="0" w:leftChars="0" w:firstLine="708" w:firstLineChars="0"/>
        <w:jc w:val="both"/>
        <w:rPr>
          <w:rFonts w:hint="default"/>
          <w:b w:val="0"/>
          <w:bCs/>
          <w:sz w:val="24"/>
          <w:szCs w:val="24"/>
          <w:lang w:val="ru-RU"/>
        </w:rPr>
      </w:pPr>
    </w:p>
    <w:p>
      <w:pPr>
        <w:pStyle w:val="11"/>
        <w:ind w:firstLine="709"/>
        <w:jc w:val="both"/>
        <w:rPr>
          <w:b w:val="0"/>
          <w:bCs/>
          <w:lang w:val="ru-RU"/>
        </w:rPr>
      </w:pPr>
    </w:p>
    <w:p>
      <w:pPr>
        <w:pStyle w:val="11"/>
        <w:jc w:val="both"/>
      </w:pPr>
      <w:r>
        <w:t xml:space="preserve">Глава Белоярского района                    </w:t>
      </w:r>
      <w:r>
        <w:rPr>
          <w:lang w:val="ru-RU"/>
        </w:rPr>
        <w:t xml:space="preserve">              </w:t>
      </w:r>
      <w:r>
        <w:t xml:space="preserve">                                                </w:t>
      </w:r>
      <w:r>
        <w:rPr>
          <w:lang w:val="ru-RU"/>
        </w:rPr>
        <w:t xml:space="preserve">    </w:t>
      </w:r>
      <w:r>
        <w:t>С.П.Маненков</w:t>
      </w:r>
    </w:p>
    <w:p>
      <w:pPr>
        <w:ind w:firstLine="709"/>
        <w:jc w:val="right"/>
      </w:pPr>
    </w:p>
    <w:p>
      <w:pPr>
        <w:ind w:firstLine="709"/>
        <w:jc w:val="right"/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УТВЕРЖДЕН</w:t>
      </w:r>
    </w:p>
    <w:p>
      <w:pPr>
        <w:spacing w:beforeLines="0" w:afterLines="0"/>
        <w:jc w:val="right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распоряжением администрации</w:t>
      </w:r>
    </w:p>
    <w:p>
      <w:pPr>
        <w:spacing w:beforeLines="0" w:afterLines="0"/>
        <w:jc w:val="right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от 23 января 2018 года № 16-р</w:t>
      </w:r>
    </w:p>
    <w:p>
      <w:pPr>
        <w:spacing w:beforeLines="0" w:afterLines="0"/>
        <w:jc w:val="right"/>
        <w:rPr>
          <w:rFonts w:hint="default" w:ascii="TimesNewRomanPSMT" w:hAnsi="TimesNewRomanPSMT" w:eastAsia="TimesNewRomanPSMT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Порядок организации сопровождения инвестиционных проектов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в администрации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Общие положения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1.1. Настоящий Порядок организации сопровождения инвестиционных проектов 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 (далее – Порядок</w:t>
      </w:r>
      <w:r>
        <w:rPr>
          <w:rFonts w:hint="default" w:ascii="TimesNewRomanPS-BoldMT" w:hAnsi="TimesNewRomanPS-BoldMT" w:eastAsia="TimesNewRomanPS-BoldMT"/>
          <w:b/>
          <w:sz w:val="24"/>
          <w:szCs w:val="24"/>
        </w:rPr>
        <w:t xml:space="preserve">) </w:t>
      </w:r>
      <w:r>
        <w:rPr>
          <w:rFonts w:hint="default" w:ascii="TimesNewRomanPSMT" w:hAnsi="TimesNewRomanPSMT" w:eastAsia="TimesNewRomanPSMT"/>
          <w:sz w:val="24"/>
          <w:szCs w:val="24"/>
        </w:rPr>
        <w:t>разработан в соответствии с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постановлением Правительства Ханты-Мансийского автономного округа – Югры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от 27 декабря 2013 года № 590-п «О Регламенте по сопровождению инвестиционных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проектов в Ханты-Мансийском автономном округе - Югре» (далее – Окружной регламент)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в целях установления механизма взаимодействия органов администрации Белоярского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района при сопровождении инвестиционных проектов.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1.2. Порядком определяется взаимодействие органов администрации Белоярского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района при информационно-консультационном и организационном сопровождении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инвестиционных проектов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1.3. Понятия, используемые в настоящем Порядке применяются в том же значении,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что и Окружном регламенте.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2. Взаимодействие органов администрации Белоярского района по оказанию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информационных и консультационных услуг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2.1. Администрация Белоярского района принимает к рассмотрению обращение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инвестора поступившее: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- от Департамента экономического развития Ханты-Мансийского автономного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округа – Югры (далее - Депэкономики Югры) по электронной почте и (или) на бумажном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носителе;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- от инвестора на бумажном носителе по адресу: 628162, Ханты-Мансийский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автономный округ – Югра, город Белоярский, улица Центральная, 9 и (или) в форме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электронного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до</w:t>
      </w:r>
      <w:r>
        <w:rPr>
          <w:rFonts w:hint="default" w:ascii="TimesNewRomanPSMT" w:hAnsi="TimesNewRomanPSMT" w:eastAsia="TimesNewRomanPSMT"/>
          <w:sz w:val="24"/>
          <w:szCs w:val="24"/>
        </w:rPr>
        <w:t>кумента поступившего через официальный сайт органов местного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самоуправления Белоярского района в раздел «Инвестиционная привлекательность».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2.2. При поступлении обращения инвестора: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1) глава Белоярского района принимает к рассмотрению обращение инвестора и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передает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е</w:t>
      </w:r>
      <w:r>
        <w:rPr>
          <w:rFonts w:hint="default" w:ascii="TimesNewRomanPSMT" w:hAnsi="TimesNewRomanPSMT" w:eastAsia="TimesNewRomanPSMT"/>
          <w:sz w:val="24"/>
          <w:szCs w:val="24"/>
        </w:rPr>
        <w:t>го для подготовки ответа в управление экономики, реформ и программ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2) управление экономики, реформ и программ администрации Белоярского района 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целях подготовки ответа на обращение инвестора направляет в адрес органов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района, в соответствующей сфере деятельности, запросы по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существу поставленных в обращении вопросов, связанных с: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а) организацией сопровождения инвестиционных проектов;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 xml:space="preserve">б) </w:t>
      </w:r>
      <w:r>
        <w:rPr>
          <w:rFonts w:hint="default"/>
          <w:b w:val="0"/>
          <w:bCs/>
          <w:sz w:val="24"/>
          <w:szCs w:val="24"/>
          <w:lang w:val="ru-RU"/>
        </w:rPr>
        <w:t>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26 июня 2020 года № 59-оз «О государственной поддержке инвестиционной деятельности, защите и поощрении капиталовложений в Ханты-Мансийском автономном округе - Югре», от 29 декабря 2007 года № 213-оз «О развитии малого и среднего предпринимательства в Ханты-Мансийском автономном округе – Югре», соответствующими муниципальными программами Белоярского района и порядками предоставления муниципальных гарантий Белоярского района;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в) реализацией инвестиционного проекта с использованием механизмов, предусмотренных федеральными законами от 21 июля 2005 года № 115-ФЗ «О концессионных соглашениях», от 13 июля 2015 года № 224-ФЗ «О государственно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-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частном партнерстве, муниципально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- </w:t>
      </w:r>
      <w:r>
        <w:rPr>
          <w:rFonts w:hint="default" w:ascii="TimesNewRomanPSMT" w:hAnsi="TimesNewRomanPSMT" w:eastAsia="TimesNewRomanPSMT"/>
          <w:sz w:val="24"/>
          <w:szCs w:val="24"/>
        </w:rPr>
        <w:t>частном партнерстве в Российской Федерации и внесении изменений в отдельные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законодательные акты Российской Федерации»;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г) реализацией инвестиционного проекта, а также требованиями, предъявляемыми к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и</w:t>
      </w:r>
      <w:r>
        <w:rPr>
          <w:rFonts w:hint="default" w:ascii="TimesNewRomanPSMT" w:hAnsi="TimesNewRomanPSMT" w:eastAsia="TimesNewRomanPSMT"/>
          <w:sz w:val="24"/>
          <w:szCs w:val="24"/>
        </w:rPr>
        <w:t>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д) заключением соглашения о сотрудничестве между Правительством автономного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округа и инвестором и (или) между администрацией Белоярского района и инвестором.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Управление экономики, реформ и программ администрации Белоярского района, 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основании представленных ответов на запросы, направленных в адрес органов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района, в соответствующей сфере деятельности, в срок не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более 6 рабочих дней с даты поступления обращения инвестора формирует и направляет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ответ инвестору, а так же направляет копию ответа на обращение посредством электронной</w:t>
      </w:r>
    </w:p>
    <w:p>
      <w:pPr>
        <w:spacing w:beforeLines="0" w:afterLines="0"/>
        <w:jc w:val="left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почты в Депэкономики Югры.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2.3. При поступлении в адрес администрации Белоярского района запроса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информации от Депэкономики Югры, необходимой для подготовки Депэкономики Югры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ответа 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о</w:t>
      </w:r>
      <w:r>
        <w:rPr>
          <w:rFonts w:hint="default" w:ascii="TimesNewRomanPSMT" w:hAnsi="TimesNewRomanPSMT" w:eastAsia="TimesNewRomanPSMT"/>
          <w:sz w:val="24"/>
          <w:szCs w:val="24"/>
        </w:rPr>
        <w:t>бращение инвестора: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1) глава Белоярского района принимает к рассмотрению запрос Депэкономики Югры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 передает его для подготовки ответа в управление экономики, реформ и программ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2) управление экономики реформ и программ администрации Белоярского района 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целях подготовки ответа по запросу Депэкономики Югры запрашивает у органов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района, в соответствующей сфере деятельности сведения,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необходимые для подготовки ответа;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3) управление экономики реформ и программ администрации Белоярского района, 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о</w:t>
      </w:r>
      <w:r>
        <w:rPr>
          <w:rFonts w:hint="default" w:ascii="TimesNewRomanPSMT" w:hAnsi="TimesNewRomanPSMT" w:eastAsia="TimesNewRomanPSMT"/>
          <w:sz w:val="24"/>
          <w:szCs w:val="24"/>
        </w:rPr>
        <w:t>сновании представленных ответов формирует и направляет запрашиваемые сведения в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адрес Депэкономики Югры в срок не более 3 рабочих дней с даты поступления запроса.</w:t>
      </w:r>
    </w:p>
    <w:p>
      <w:pPr>
        <w:spacing w:beforeLines="0" w:afterLines="0"/>
        <w:ind w:left="120" w:hanging="120" w:hangingChars="50"/>
        <w:jc w:val="both"/>
        <w:rPr>
          <w:rFonts w:hint="default" w:ascii="TimesNewRomanPSMT" w:hAnsi="TimesNewRomanPSMT" w:eastAsia="TimesNewRomanPSMT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Организация сопровождения инвестиционных проектов</w:t>
      </w:r>
    </w:p>
    <w:p>
      <w:pPr>
        <w:numPr>
          <w:ilvl w:val="0"/>
          <w:numId w:val="0"/>
        </w:numPr>
        <w:spacing w:beforeLines="0" w:afterLines="0"/>
        <w:ind w:left="0" w:leftChars="0" w:firstLine="600" w:firstLineChars="250"/>
        <w:jc w:val="both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3.1. Администрация Белоярского района принимает к рассмотрению заявку инвестора</w:t>
      </w:r>
    </w:p>
    <w:p>
      <w:pPr>
        <w:spacing w:beforeLines="0" w:afterLines="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о необходимости организации сопровождения инвестиционного проекта (далее –заявка),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поступившую от: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- Депэкономики Югры по электронной почте и (или) на бумажном носителе;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- инвестора на бумажном носителе по адресу: 628162, Ханты-Мансийский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 xml:space="preserve">автономный 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о</w:t>
      </w:r>
      <w:r>
        <w:rPr>
          <w:rFonts w:hint="default" w:ascii="TimesNewRomanPSMT" w:hAnsi="TimesNewRomanPSMT" w:eastAsia="TimesNewRomanPSMT"/>
          <w:sz w:val="24"/>
          <w:szCs w:val="24"/>
        </w:rPr>
        <w:t>круг – Югра, город Белоярский, улица Центральная, 9 и (или) в форме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электронного документа поступившего через официальный сайт органов местного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самоуправления Белоярского района в раздел «Инвестиционная привлекательность».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3.2. Глава Белоярского района определяет ответственное должностное лицо за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сопровождение инвестиционного проекта - заместителя главы в соответствующей сфере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деятельности, а так же передает заявку в управление экономики, реформ и программ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администрации Белоярского района для проверки заявки на предмет отсутствия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установленных Окружным регламентом оснований для отказа в сопровождении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инвестиционного проекта.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3.3. Управление экономики, реформ и программ администрации Белоярского района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проверяет поступившую от инвестора заявку на предмет отсутствия оснований для отказа,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установленных Окружным регламентом и представляет в срок не более 3 рабочих дней с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даты поступления заявки, посредством электронной почты в Депэкономики Югры копию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поступившего в администрацию Белоярского района обращения инвестора, с информацией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 должностном лице, ответственном за сопровождении инвестиционного проекта.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3.4. В случае наличия оснований для отказа в сопровождении инвестиционного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проекта, установленных Окружным регламентом администрация Белоярского района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направляет посредством электронной почты: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а) инвестору - мотивированный отказ в сопровождении инвестиционного проекта;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б)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в </w:t>
      </w:r>
      <w:r>
        <w:rPr>
          <w:rFonts w:hint="default" w:ascii="TimesNewRomanPSMT" w:hAnsi="TimesNewRomanPSMT" w:eastAsia="TimesNewRomanPSMT"/>
          <w:sz w:val="24"/>
          <w:szCs w:val="24"/>
        </w:rPr>
        <w:t>Депэкономики Югры - копию решения об отказе в сопровождении инвестиционного проекта с приложением заявки.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4. Участие администрации Белоярского района в формировании и исполнении плана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мероприятий по сопровождению инвестиционного проекта</w:t>
      </w:r>
    </w:p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4.1. Администрация Белоярского района совместно с уполномоченной организацией,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NewRomanPSMT" w:hAnsi="TimesNewRomanPSMT" w:eastAsia="TimesNewRomanPSMT"/>
          <w:sz w:val="24"/>
          <w:szCs w:val="24"/>
        </w:rPr>
        <w:t>инвестором, куратором инвестиционного проекта в сроки, установленные Окружным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регламентом, формирует посредством информационной системы помощи инвестору план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мероприятий по сопровождению инвестиционного проекта (далее – План) с определением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ответственных лиц за реализацию мероприятий указанного Плана.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4.2. Ответственными должностными лицами за исполнение мероприятий являются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лица, закреплённые соответствующим планом мероприятий. По итогам исполнения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мероприятия ответственный исполнитель представляет подтверждающий документ об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исполнении мероприятия в управление экономики, реформ и программ администрации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Белоярского района.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4.3. Управление экономики, реформ и программ администрации Белоярского района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осуществляет мониторинг за своевременным исполнением мероприятий Плана, а так же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осуществляет предоставление в уполномоченную организацию соответствующей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отчетности.</w:t>
      </w:r>
    </w:p>
    <w:p>
      <w:pPr>
        <w:spacing w:beforeLines="0" w:afterLines="0"/>
        <w:ind w:left="0" w:leftChars="0" w:firstLine="600" w:firstLineChars="250"/>
        <w:jc w:val="both"/>
        <w:rPr>
          <w:rFonts w:hint="default" w:ascii="TimesNewRomanPSMT" w:hAnsi="TimesNewRomanPSMT" w:eastAsia="TimesNewRomanPSMT"/>
          <w:sz w:val="24"/>
          <w:szCs w:val="24"/>
        </w:rPr>
      </w:pPr>
      <w:r>
        <w:rPr>
          <w:rFonts w:hint="default" w:ascii="TimesNewRomanPSMT" w:hAnsi="TimesNewRomanPSMT" w:eastAsia="TimesNewRomanPSMT"/>
          <w:sz w:val="24"/>
          <w:szCs w:val="24"/>
        </w:rPr>
        <w:t>4.4. В случае необходимости, ответственное должностное лицо за сопровождение</w:t>
      </w:r>
      <w:r>
        <w:rPr>
          <w:rFonts w:hint="default" w:ascii="TimesNewRomanPSMT" w:hAnsi="TimesNewRomanPSMT" w:eastAsia="TimesNewRomanPSMT"/>
          <w:sz w:val="24"/>
          <w:szCs w:val="24"/>
          <w:lang w:val="ru-RU"/>
        </w:rPr>
        <w:t xml:space="preserve"> </w:t>
      </w:r>
      <w:r>
        <w:rPr>
          <w:rFonts w:hint="default" w:ascii="TimesNewRomanPSMT" w:hAnsi="TimesNewRomanPSMT" w:eastAsia="TimesNewRomanPSMT"/>
          <w:sz w:val="24"/>
          <w:szCs w:val="24"/>
        </w:rPr>
        <w:t>инвестиционного проекта может привлекать иных лиц к исполнению Плана мероприятий.</w:t>
      </w: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jc w:val="center"/>
        <w:rPr>
          <w:rFonts w:eastAsia="Calibri"/>
          <w:sz w:val="24"/>
          <w:szCs w:val="24"/>
        </w:rPr>
      </w:pPr>
      <w:r>
        <w:rPr>
          <w:rFonts w:hint="default" w:ascii="TimesNewRomanPS-BoldMT" w:hAnsi="TimesNewRomanPS-BoldMT" w:eastAsia="TimesNewRomanPS-BoldMT"/>
          <w:b/>
          <w:sz w:val="24"/>
          <w:szCs w:val="24"/>
        </w:rPr>
        <w:t>________</w:t>
      </w: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p>
      <w:pPr>
        <w:tabs>
          <w:tab w:val="left" w:pos="0"/>
          <w:tab w:val="left" w:pos="993"/>
          <w:tab w:val="left" w:pos="1276"/>
          <w:tab w:val="left" w:pos="5670"/>
        </w:tabs>
        <w:ind w:firstLine="709"/>
        <w:rPr>
          <w:rFonts w:eastAsia="Calibri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851" w:bottom="1134" w:left="1559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PS-BoldMT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7AEB7"/>
    <w:multiLevelType w:val="singleLevel"/>
    <w:tmpl w:val="FF77AE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3F"/>
    <w:rsid w:val="000306B0"/>
    <w:rsid w:val="000315E0"/>
    <w:rsid w:val="0003608A"/>
    <w:rsid w:val="0005320A"/>
    <w:rsid w:val="00072ECC"/>
    <w:rsid w:val="00093249"/>
    <w:rsid w:val="000C3D14"/>
    <w:rsid w:val="000C7C61"/>
    <w:rsid w:val="000D001D"/>
    <w:rsid w:val="000E46C9"/>
    <w:rsid w:val="000F1BAE"/>
    <w:rsid w:val="00111183"/>
    <w:rsid w:val="00111324"/>
    <w:rsid w:val="0011298C"/>
    <w:rsid w:val="00143110"/>
    <w:rsid w:val="001432F7"/>
    <w:rsid w:val="00147269"/>
    <w:rsid w:val="001624C2"/>
    <w:rsid w:val="00167CFE"/>
    <w:rsid w:val="00175573"/>
    <w:rsid w:val="00183F19"/>
    <w:rsid w:val="001A4CBE"/>
    <w:rsid w:val="001B30AB"/>
    <w:rsid w:val="0020336C"/>
    <w:rsid w:val="0022129D"/>
    <w:rsid w:val="00243D86"/>
    <w:rsid w:val="00253386"/>
    <w:rsid w:val="002652A3"/>
    <w:rsid w:val="002733D7"/>
    <w:rsid w:val="00296FCB"/>
    <w:rsid w:val="002C2978"/>
    <w:rsid w:val="002D2C77"/>
    <w:rsid w:val="002E2F89"/>
    <w:rsid w:val="002E3D53"/>
    <w:rsid w:val="003A21BC"/>
    <w:rsid w:val="003E717F"/>
    <w:rsid w:val="003E73B0"/>
    <w:rsid w:val="003F4E16"/>
    <w:rsid w:val="004125A3"/>
    <w:rsid w:val="004159A9"/>
    <w:rsid w:val="0042004F"/>
    <w:rsid w:val="00427D3E"/>
    <w:rsid w:val="00467DA0"/>
    <w:rsid w:val="00486394"/>
    <w:rsid w:val="00495CB4"/>
    <w:rsid w:val="004B22EC"/>
    <w:rsid w:val="004B5B85"/>
    <w:rsid w:val="004B5D57"/>
    <w:rsid w:val="004F4B92"/>
    <w:rsid w:val="004F52D4"/>
    <w:rsid w:val="0054093F"/>
    <w:rsid w:val="005A0C03"/>
    <w:rsid w:val="005B0CA5"/>
    <w:rsid w:val="005B1250"/>
    <w:rsid w:val="005B2161"/>
    <w:rsid w:val="005D2681"/>
    <w:rsid w:val="00601DE9"/>
    <w:rsid w:val="0061095F"/>
    <w:rsid w:val="00662A6C"/>
    <w:rsid w:val="006635C5"/>
    <w:rsid w:val="00665573"/>
    <w:rsid w:val="006656BC"/>
    <w:rsid w:val="0069424F"/>
    <w:rsid w:val="006B6DD3"/>
    <w:rsid w:val="006B6F0D"/>
    <w:rsid w:val="006E4807"/>
    <w:rsid w:val="00701165"/>
    <w:rsid w:val="0070712E"/>
    <w:rsid w:val="0076269F"/>
    <w:rsid w:val="007B6460"/>
    <w:rsid w:val="007D7E97"/>
    <w:rsid w:val="00817374"/>
    <w:rsid w:val="008240E2"/>
    <w:rsid w:val="00831029"/>
    <w:rsid w:val="0083508F"/>
    <w:rsid w:val="00845899"/>
    <w:rsid w:val="00852C67"/>
    <w:rsid w:val="0087545C"/>
    <w:rsid w:val="00882DFE"/>
    <w:rsid w:val="008E66AC"/>
    <w:rsid w:val="008F1491"/>
    <w:rsid w:val="008F38D7"/>
    <w:rsid w:val="00912BBB"/>
    <w:rsid w:val="00930309"/>
    <w:rsid w:val="00941C0A"/>
    <w:rsid w:val="0098321F"/>
    <w:rsid w:val="00991351"/>
    <w:rsid w:val="00992480"/>
    <w:rsid w:val="009B1C6A"/>
    <w:rsid w:val="009C2D8F"/>
    <w:rsid w:val="009C2E0A"/>
    <w:rsid w:val="009C7E96"/>
    <w:rsid w:val="009C7F31"/>
    <w:rsid w:val="009D07C2"/>
    <w:rsid w:val="009D3445"/>
    <w:rsid w:val="009D78A5"/>
    <w:rsid w:val="009F0D2C"/>
    <w:rsid w:val="009F3467"/>
    <w:rsid w:val="00A91B37"/>
    <w:rsid w:val="00AC0281"/>
    <w:rsid w:val="00AC3227"/>
    <w:rsid w:val="00AD54AE"/>
    <w:rsid w:val="00AE52B9"/>
    <w:rsid w:val="00B079DC"/>
    <w:rsid w:val="00B13709"/>
    <w:rsid w:val="00B1604B"/>
    <w:rsid w:val="00B40119"/>
    <w:rsid w:val="00B42D97"/>
    <w:rsid w:val="00B5151C"/>
    <w:rsid w:val="00B85D83"/>
    <w:rsid w:val="00BD20A4"/>
    <w:rsid w:val="00BF3047"/>
    <w:rsid w:val="00C54F31"/>
    <w:rsid w:val="00C65588"/>
    <w:rsid w:val="00C721BB"/>
    <w:rsid w:val="00C808D8"/>
    <w:rsid w:val="00C906E8"/>
    <w:rsid w:val="00CC09A9"/>
    <w:rsid w:val="00CF51DE"/>
    <w:rsid w:val="00CF6EAB"/>
    <w:rsid w:val="00CF7CD1"/>
    <w:rsid w:val="00D07803"/>
    <w:rsid w:val="00D341FB"/>
    <w:rsid w:val="00D37C45"/>
    <w:rsid w:val="00D7103E"/>
    <w:rsid w:val="00D91D4B"/>
    <w:rsid w:val="00DA4AF8"/>
    <w:rsid w:val="00DA63B3"/>
    <w:rsid w:val="00DB0596"/>
    <w:rsid w:val="00DD18C0"/>
    <w:rsid w:val="00DD2FA0"/>
    <w:rsid w:val="00E10CB0"/>
    <w:rsid w:val="00E273C8"/>
    <w:rsid w:val="00E4418E"/>
    <w:rsid w:val="00F067CD"/>
    <w:rsid w:val="00F10FBE"/>
    <w:rsid w:val="00F14CEE"/>
    <w:rsid w:val="00F2002E"/>
    <w:rsid w:val="00F24F48"/>
    <w:rsid w:val="00F25715"/>
    <w:rsid w:val="00F76102"/>
    <w:rsid w:val="00F83CF3"/>
    <w:rsid w:val="00F93D88"/>
    <w:rsid w:val="00FA3CFD"/>
    <w:rsid w:val="00FC4206"/>
    <w:rsid w:val="00FF3819"/>
    <w:rsid w:val="0BE43253"/>
    <w:rsid w:val="0DE46E1A"/>
    <w:rsid w:val="0FAA7357"/>
    <w:rsid w:val="182850DA"/>
    <w:rsid w:val="18F124BF"/>
    <w:rsid w:val="1C2A3120"/>
    <w:rsid w:val="22871F65"/>
    <w:rsid w:val="29033D68"/>
    <w:rsid w:val="30323113"/>
    <w:rsid w:val="31F4696C"/>
    <w:rsid w:val="36F05F8F"/>
    <w:rsid w:val="3743632C"/>
    <w:rsid w:val="381F57B4"/>
    <w:rsid w:val="38D63EB2"/>
    <w:rsid w:val="3B0F1FEC"/>
    <w:rsid w:val="408274FC"/>
    <w:rsid w:val="42052209"/>
    <w:rsid w:val="42FF3A85"/>
    <w:rsid w:val="469915E6"/>
    <w:rsid w:val="49A77BDF"/>
    <w:rsid w:val="49B91FAF"/>
    <w:rsid w:val="4E6D5BDD"/>
    <w:rsid w:val="51FA5CC0"/>
    <w:rsid w:val="7B5219D7"/>
    <w:rsid w:val="7CDF2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link w:val="15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uiPriority w:val="0"/>
    <w:rPr>
      <w:rFonts w:ascii="Arial" w:hAnsi="Arial"/>
      <w:i/>
    </w:rPr>
  </w:style>
  <w:style w:type="character" w:styleId="9">
    <w:name w:val="Strong"/>
    <w:qFormat/>
    <w:uiPriority w:val="0"/>
    <w:rPr>
      <w:rFonts w:cs="Times New Roman"/>
      <w:b/>
      <w:bCs/>
    </w:rPr>
  </w:style>
  <w:style w:type="paragraph" w:styleId="10">
    <w:name w:val="Balloon Text"/>
    <w:basedOn w:val="1"/>
    <w:link w:val="16"/>
    <w:uiPriority w:val="0"/>
    <w:rPr>
      <w:rFonts w:ascii="Tahoma" w:hAnsi="Tahoma"/>
      <w:sz w:val="16"/>
      <w:szCs w:val="16"/>
    </w:rPr>
  </w:style>
  <w:style w:type="paragraph" w:styleId="11">
    <w:name w:val="Body Text Indent 3"/>
    <w:basedOn w:val="1"/>
    <w:link w:val="17"/>
    <w:uiPriority w:val="0"/>
    <w:pPr>
      <w:jc w:val="center"/>
    </w:pPr>
    <w:rPr>
      <w:sz w:val="24"/>
    </w:rPr>
  </w:style>
  <w:style w:type="paragraph" w:styleId="12">
    <w:name w:val="footer"/>
    <w:basedOn w:val="1"/>
    <w:link w:val="18"/>
    <w:unhideWhenUsed/>
    <w:uiPriority w:val="0"/>
    <w:pPr>
      <w:tabs>
        <w:tab w:val="center" w:pos="4677"/>
        <w:tab w:val="right" w:pos="9355"/>
      </w:tabs>
    </w:pPr>
  </w:style>
  <w:style w:type="table" w:styleId="13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link w:val="2"/>
    <w:uiPriority w:val="0"/>
    <w:rPr>
      <w:b/>
      <w:sz w:val="28"/>
    </w:rPr>
  </w:style>
  <w:style w:type="character" w:customStyle="1" w:styleId="15">
    <w:name w:val="Заголовок 3 Знак"/>
    <w:link w:val="4"/>
    <w:uiPriority w:val="0"/>
    <w:rPr>
      <w:sz w:val="28"/>
    </w:rPr>
  </w:style>
  <w:style w:type="character" w:customStyle="1" w:styleId="16">
    <w:name w:val="Текст выноски Знак"/>
    <w:link w:val="10"/>
    <w:uiPriority w:val="0"/>
    <w:rPr>
      <w:rFonts w:ascii="Tahoma" w:hAnsi="Tahoma" w:cs="Tahoma"/>
      <w:sz w:val="16"/>
      <w:szCs w:val="16"/>
    </w:rPr>
  </w:style>
  <w:style w:type="character" w:customStyle="1" w:styleId="17">
    <w:name w:val="Основной текст с отступом 3 Знак"/>
    <w:link w:val="11"/>
    <w:uiPriority w:val="0"/>
    <w:rPr>
      <w:sz w:val="24"/>
    </w:rPr>
  </w:style>
  <w:style w:type="character" w:customStyle="1" w:styleId="18">
    <w:name w:val="Нижний колонтитул Знак"/>
    <w:basedOn w:val="5"/>
    <w:link w:val="12"/>
    <w:uiPriority w:val="0"/>
  </w:style>
  <w:style w:type="paragraph" w:customStyle="1" w:styleId="19">
    <w:name w:val="ConsPlusNonformat"/>
    <w:link w:val="20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character" w:customStyle="1" w:styleId="20">
    <w:name w:val="ConsPlusNonformat Знак"/>
    <w:link w:val="19"/>
    <w:uiPriority w:val="0"/>
    <w:rPr>
      <w:rFonts w:ascii="Courier New" w:hAnsi="Courier New" w:cs="Courier New"/>
      <w:lang w:val="ru-RU" w:eastAsia="ru-RU" w:bidi="ar-SA"/>
    </w:rPr>
  </w:style>
  <w:style w:type="paragraph" w:customStyle="1" w:styleId="21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styleId="2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3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4">
    <w:name w:val="Style2"/>
    <w:basedOn w:val="1"/>
    <w:uiPriority w:val="0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25">
    <w:name w:val="Style6"/>
    <w:basedOn w:val="1"/>
    <w:uiPriority w:val="0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26">
    <w:name w:val="Style7"/>
    <w:basedOn w:val="1"/>
    <w:uiPriority w:val="0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27">
    <w:name w:val="Font Style11"/>
    <w:uiPriority w:val="0"/>
    <w:rPr>
      <w:rFonts w:ascii="Times New Roman" w:hAnsi="Times New Roman" w:cs="Times New Roman"/>
      <w:sz w:val="22"/>
      <w:szCs w:val="22"/>
    </w:rPr>
  </w:style>
  <w:style w:type="paragraph" w:customStyle="1" w:styleId="28">
    <w:name w:val="Default"/>
    <w:uiPriority w:val="0"/>
    <w:pPr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314</Words>
  <Characters>1793</Characters>
  <Lines>14</Lines>
  <Paragraphs>4</Paragraphs>
  <TotalTime>18</TotalTime>
  <ScaleCrop>false</ScaleCrop>
  <LinksUpToDate>false</LinksUpToDate>
  <CharactersWithSpaces>2103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2021-01-11T11:13:00Z</dcterms:created>
  <dc:creator>Светлана</dc:creator>
  <cp:lastModifiedBy>Анастасия Кулаб�</cp:lastModifiedBy>
  <cp:lastPrinted>2022-11-03T06:42:08Z</cp:lastPrinted>
  <dcterms:modified xsi:type="dcterms:W3CDTF">2023-05-16T06:25:37Z</dcterms:modified>
  <dc:title>Р Е Е С Т 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118B578811BC4B78A81ECE16A5606E87</vt:lpwstr>
  </property>
</Properties>
</file>