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9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6"/>
        <w:jc w:val="right"/>
      </w:pPr>
      <w:r/>
      <w:r/>
    </w:p>
    <w:p>
      <w:pPr>
        <w:pStyle w:val="896"/>
        <w:jc w:val="right"/>
      </w:pPr>
      <w:r>
        <w:t xml:space="preserve">проект</w:t>
      </w:r>
      <w:r/>
    </w:p>
    <w:p>
      <w:pPr>
        <w:pStyle w:val="897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7"/>
      </w:pPr>
      <w:r>
        <w:t xml:space="preserve">ПОСТАНОВЛЕНИЕ</w:t>
      </w:r>
      <w:r/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6"/>
        <w:jc w:val="center"/>
        <w:rPr>
          <w:szCs w:val="20"/>
        </w:rPr>
      </w:pPr>
      <w:r>
        <w:rPr>
          <w:szCs w:val="20"/>
        </w:rPr>
        <w:t xml:space="preserve">от                  2025</w:t>
      </w:r>
      <w:r>
        <w:rPr>
          <w:szCs w:val="20"/>
        </w:rPr>
        <w:t xml:space="preserve"> года                                                                                                                 №</w:t>
      </w:r>
      <w:r>
        <w:rPr>
          <w:szCs w:val="20"/>
        </w:rPr>
      </w:r>
      <w:r>
        <w:rPr>
          <w:szCs w:val="20"/>
        </w:rPr>
      </w:r>
    </w:p>
    <w:p>
      <w:pPr>
        <w:pStyle w:val="896"/>
        <w:jc w:val="center"/>
      </w:pPr>
      <w:r/>
      <w:r/>
    </w:p>
    <w:p>
      <w:pPr>
        <w:pStyle w:val="896"/>
        <w:jc w:val="center"/>
        <w:rPr>
          <w:b/>
        </w:rPr>
      </w:pPr>
      <w:r>
        <w:rPr>
          <w:b/>
        </w:rPr>
        <w:t xml:space="preserve">О внесении изменения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администрации </w:t>
      </w:r>
      <w:r>
        <w:rPr>
          <w:b/>
        </w:rPr>
        <w:t xml:space="preserve">Б</w:t>
      </w:r>
      <w:r>
        <w:rPr>
          <w:b/>
        </w:rPr>
        <w:t xml:space="preserve">елоярского района от 11 ноября 2013 года № 1627</w: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96"/>
        <w:ind w:firstLine="720"/>
        <w:jc w:val="both"/>
      </w:pPr>
      <w:r>
        <w:t xml:space="preserve">П</w:t>
      </w:r>
      <w:r>
        <w:t xml:space="preserve"> </w:t>
      </w:r>
      <w:r>
        <w:t xml:space="preserve">о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а</w:t>
      </w:r>
      <w:r>
        <w:t xml:space="preserve"> </w:t>
      </w:r>
      <w:r>
        <w:t xml:space="preserve">н</w:t>
      </w:r>
      <w:r>
        <w:t xml:space="preserve"> </w:t>
      </w:r>
      <w:r>
        <w:t xml:space="preserve">о</w:t>
      </w:r>
      <w:r>
        <w:t xml:space="preserve"> </w:t>
      </w:r>
      <w:r>
        <w:t xml:space="preserve">в</w:t>
      </w:r>
      <w:r>
        <w:t xml:space="preserve"> </w:t>
      </w:r>
      <w:r>
        <w:t xml:space="preserve">л</w:t>
      </w:r>
      <w:r>
        <w:t xml:space="preserve"> </w:t>
      </w:r>
      <w:r>
        <w:t xml:space="preserve">я</w:t>
      </w:r>
      <w:r>
        <w:t xml:space="preserve"> </w:t>
      </w:r>
      <w:r>
        <w:t xml:space="preserve">ю:</w:t>
      </w:r>
      <w:r/>
    </w:p>
    <w:p>
      <w:pPr>
        <w:pStyle w:val="896"/>
        <w:ind w:firstLine="720"/>
        <w:jc w:val="both"/>
        <w:rPr>
          <w:sz w:val="23"/>
          <w:szCs w:val="23"/>
        </w:rPr>
      </w:pPr>
      <w:r>
        <w:t xml:space="preserve">1. </w:t>
      </w:r>
      <w:r>
        <w:t xml:space="preserve">Внести в </w:t>
      </w:r>
      <w:r>
        <w:t xml:space="preserve">приложение «А</w:t>
      </w:r>
      <w:r>
        <w:t xml:space="preserve">дминистративный регламент пред</w:t>
      </w:r>
      <w:r>
        <w:t xml:space="preserve">оставления муниципальной услуги «</w:t>
      </w:r>
      <w:r>
        <w:t xml:space="preserve">Перевод жилого помещения в нежилое помещение и нежилого помещения в жилое помещение</w:t>
      </w:r>
      <w:r>
        <w:t xml:space="preserve">»</w:t>
      </w:r>
      <w:r>
        <w:t xml:space="preserve"> </w:t>
      </w:r>
      <w:r>
        <w:t xml:space="preserve">к </w:t>
      </w:r>
      <w:r>
        <w:t xml:space="preserve">постановлени</w:t>
      </w:r>
      <w:r>
        <w:t xml:space="preserve">ю</w:t>
      </w:r>
      <w:r>
        <w:t xml:space="preserve"> администрации Белоярского района от 11 ноября 2013 года №</w:t>
      </w:r>
      <w:r>
        <w:t xml:space="preserve"> </w:t>
      </w:r>
      <w:r>
        <w:t xml:space="preserve">1627 «Об утверждении административного регламента предоставления муниципальной услуги «</w:t>
      </w:r>
      <w:r>
        <w:t xml:space="preserve">Перевод жилого помещения в нежилое помещение и нежилого помещения в жилое помещение</w:t>
      </w:r>
      <w:r>
        <w:t xml:space="preserve">е</w:t>
      </w:r>
      <w:r>
        <w:t xml:space="preserve">» </w:t>
      </w:r>
      <w:r>
        <w:rPr>
          <w:lang w:val="ru-RU"/>
        </w:rPr>
        <w:t xml:space="preserve">изменение</w:t>
      </w:r>
      <w:r>
        <w:rPr>
          <w:lang w:val="ru-RU"/>
        </w:rPr>
        <w:t xml:space="preserve">, изложив подпункт</w:t>
      </w:r>
      <w:r>
        <w:rPr>
          <w:bCs/>
          <w:sz w:val="23"/>
          <w:szCs w:val="23"/>
        </w:rPr>
        <w:t xml:space="preserve"> 2.6.3.1 </w:t>
      </w:r>
      <w:r>
        <w:rPr>
          <w:bCs/>
          <w:sz w:val="23"/>
          <w:szCs w:val="23"/>
        </w:rPr>
        <w:t xml:space="preserve">пункта 2.6.3 </w:t>
      </w:r>
      <w:r>
        <w:rPr>
          <w:bCs/>
          <w:sz w:val="23"/>
          <w:szCs w:val="23"/>
        </w:rPr>
        <w:t xml:space="preserve"> в следующей редакции: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«</w:t>
      </w:r>
      <w:r>
        <w:rPr>
          <w:bCs/>
          <w:sz w:val="23"/>
          <w:szCs w:val="23"/>
        </w:rPr>
        <w:t xml:space="preserve">2</w:t>
      </w:r>
      <w:r>
        <w:rPr>
          <w:bCs/>
          <w:sz w:val="23"/>
          <w:szCs w:val="23"/>
        </w:rPr>
        <w:t xml:space="preserve">.6.3.1.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помещения, заявитель по окончании указанных работ напр</w:t>
      </w:r>
      <w:r>
        <w:rPr>
          <w:bCs/>
          <w:sz w:val="23"/>
          <w:szCs w:val="23"/>
        </w:rPr>
        <w:t xml:space="preserve">авляет уведомление о завершении переустройства, и (или) перепланировки, и (или) иных работ в Управление непосредственно или через МФЦ, в котором в обязательном порядке указываются: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контактный телефон;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адрес помещения, где были проведены работы по переустройству и (или) перепланировки помещения;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реквизиты уведомления (номер и дата);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</w:t>
      </w:r>
      <w:r>
        <w:rPr>
          <w:bCs/>
          <w:sz w:val="23"/>
          <w:szCs w:val="23"/>
        </w:rPr>
        <w:t xml:space="preserve">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  <w:r>
        <w:rPr>
          <w:bCs/>
          <w:sz w:val="23"/>
          <w:szCs w:val="23"/>
        </w:rPr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В случае проведения перепланировки помещения к уведомлению в обязательном порядке прилагается: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технический план помещения, в отношении которого осуществлена перепланировка, подготовленный в соответствии с Федеральным законом от 13 июля 2015 года N 218-ФЗ "О государственной регистрации недвижимости".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Для изготовления технического паспорта заявителю необходимо обратиться в специализированные организации за получением следующей услуги:</w:t>
      </w:r>
      <w:r/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- изготовление технического паспорта переустраиваемого и (или) перепланируемого помещения в многоквартирном доме, осуществляемое органами технической инвентаризации.</w:t>
      </w:r>
      <w:r/>
    </w:p>
    <w:p>
      <w:pPr>
        <w:ind w:firstLine="720"/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Размер платы за изготовление технического паспорта переустраиваемого и (или) перепланируемого помещения в многоквартирном доме устанавливается органами технической инвентаризации и кадастровыми инженерами.</w:t>
      </w:r>
      <w:r>
        <w:rPr>
          <w:bCs/>
          <w:sz w:val="23"/>
          <w:szCs w:val="23"/>
        </w:rPr>
        <w:t xml:space="preserve">).</w:t>
      </w:r>
      <w:r>
        <w:rPr>
          <w:bCs/>
          <w:sz w:val="23"/>
          <w:szCs w:val="23"/>
        </w:rPr>
        <w:t xml:space="preserve">»</w:t>
      </w:r>
      <w:r>
        <w:rPr>
          <w:bCs/>
          <w:sz w:val="23"/>
          <w:szCs w:val="23"/>
        </w:rPr>
        <w:t xml:space="preserve">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720"/>
        <w:jc w:val="both"/>
        <w:rPr>
          <w:sz w:val="23"/>
          <w:szCs w:val="23"/>
        </w:rPr>
      </w:pPr>
      <w:r>
        <w:rPr>
          <w:bCs/>
          <w:sz w:val="23"/>
          <w:szCs w:val="23"/>
        </w:rPr>
      </w:r>
      <w:r>
        <w:t xml:space="preserve">2. </w:t>
      </w:r>
      <w: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96"/>
        <w:ind w:firstLine="720"/>
        <w:jc w:val="both"/>
      </w:pPr>
      <w:r>
        <w:t xml:space="preserve">3. Настоящее постановление вступает</w:t>
      </w:r>
      <w:r>
        <w:t xml:space="preserve"> в силу после его </w:t>
      </w:r>
      <w:r>
        <w:t xml:space="preserve">официального </w:t>
      </w:r>
      <w:r>
        <w:t xml:space="preserve">опубликования</w:t>
      </w:r>
      <w:r>
        <w:t xml:space="preserve">.</w:t>
      </w:r>
      <w:r>
        <w:t xml:space="preserve">   </w:t>
      </w:r>
      <w:r/>
    </w:p>
    <w:p>
      <w:pPr>
        <w:pStyle w:val="896"/>
        <w:ind w:firstLine="720"/>
        <w:jc w:val="both"/>
      </w:pPr>
      <w:r>
        <w:t xml:space="preserve">4</w:t>
      </w:r>
      <w:r>
        <w:t xml:space="preserve">. Контроль за </w:t>
      </w:r>
      <w:r>
        <w:t xml:space="preserve">вы</w:t>
      </w:r>
      <w:r>
        <w:t xml:space="preserve">полнением постановления возложить на </w:t>
      </w:r>
      <w:r>
        <w:t xml:space="preserve">первого </w:t>
      </w:r>
      <w:r>
        <w:t xml:space="preserve">заместителя главы Белоярского района </w:t>
      </w:r>
      <w:r>
        <w:t xml:space="preserve">Ойнеца А.В.</w:t>
      </w:r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jc w:val="both"/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</w:t>
      </w:r>
      <w:r>
        <w:t xml:space="preserve">ярского района</w:t>
        <w:tab/>
        <w:tab/>
        <w:tab/>
        <w:tab/>
      </w:r>
      <w:r>
        <w:tab/>
        <w:tab/>
        <w:tab/>
        <w:tab/>
        <w:t xml:space="preserve"> С.П.</w:t>
      </w:r>
      <w:r>
        <w:t xml:space="preserve">Маненков</w:t>
      </w:r>
      <w:r/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3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jc w:val="center"/>
      <w:keepNext/>
      <w:outlineLvl w:val="0"/>
    </w:pPr>
    <w:rPr>
      <w:b/>
      <w:sz w:val="28"/>
      <w:szCs w:val="20"/>
    </w:rPr>
  </w:style>
  <w:style w:type="paragraph" w:styleId="898">
    <w:name w:val="Заголовок 2"/>
    <w:basedOn w:val="896"/>
    <w:next w:val="896"/>
    <w:link w:val="8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9">
    <w:name w:val="Заголовок 3"/>
    <w:basedOn w:val="896"/>
    <w:next w:val="896"/>
    <w:link w:val="896"/>
    <w:qFormat/>
    <w:pPr>
      <w:jc w:val="center"/>
      <w:keepNext/>
      <w:outlineLvl w:val="2"/>
    </w:pPr>
    <w:rPr>
      <w:sz w:val="28"/>
      <w:szCs w:val="20"/>
    </w:rPr>
  </w:style>
  <w:style w:type="paragraph" w:styleId="900">
    <w:name w:val="Заголовок 5"/>
    <w:basedOn w:val="896"/>
    <w:next w:val="896"/>
    <w:link w:val="89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01">
    <w:name w:val="Основной шрифт абзаца"/>
    <w:next w:val="901"/>
    <w:link w:val="896"/>
    <w:semiHidden/>
  </w:style>
  <w:style w:type="table" w:styleId="902">
    <w:name w:val="Обычная таблица"/>
    <w:next w:val="902"/>
    <w:link w:val="896"/>
    <w:semiHidden/>
    <w:tblPr/>
  </w:style>
  <w:style w:type="numbering" w:styleId="903">
    <w:name w:val="Нет списка"/>
    <w:next w:val="903"/>
    <w:link w:val="896"/>
    <w:semiHidden/>
  </w:style>
  <w:style w:type="paragraph" w:styleId="904">
    <w:name w:val="ConsPlusNormal"/>
    <w:next w:val="904"/>
    <w:link w:val="89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Обычный (веб)"/>
    <w:basedOn w:val="896"/>
    <w:next w:val="905"/>
    <w:link w:val="896"/>
    <w:uiPriority w:val="99"/>
    <w:pPr>
      <w:spacing w:before="100" w:beforeAutospacing="1" w:after="100" w:afterAutospacing="1"/>
    </w:pPr>
  </w:style>
  <w:style w:type="paragraph" w:styleId="906">
    <w:name w:val="ConsPlusTitle"/>
    <w:next w:val="906"/>
    <w:link w:val="89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7">
    <w:name w:val="Основной текст с отступом 2"/>
    <w:basedOn w:val="896"/>
    <w:next w:val="907"/>
    <w:link w:val="896"/>
    <w:pPr>
      <w:ind w:firstLine="709"/>
      <w:jc w:val="both"/>
    </w:pPr>
  </w:style>
  <w:style w:type="paragraph" w:styleId="908">
    <w:name w:val="Верхний колонтитул"/>
    <w:basedOn w:val="896"/>
    <w:next w:val="908"/>
    <w:link w:val="924"/>
    <w:uiPriority w:val="99"/>
    <w:pPr>
      <w:tabs>
        <w:tab w:val="center" w:pos="4677" w:leader="none"/>
        <w:tab w:val="right" w:pos="9355" w:leader="none"/>
      </w:tabs>
    </w:pPr>
  </w:style>
  <w:style w:type="paragraph" w:styleId="909">
    <w:name w:val="Нижний колонтитул"/>
    <w:basedOn w:val="896"/>
    <w:next w:val="909"/>
    <w:link w:val="896"/>
    <w:pPr>
      <w:tabs>
        <w:tab w:val="center" w:pos="4677" w:leader="none"/>
        <w:tab w:val="right" w:pos="9355" w:leader="none"/>
      </w:tabs>
    </w:pPr>
  </w:style>
  <w:style w:type="character" w:styleId="910">
    <w:name w:val="Номер страницы"/>
    <w:basedOn w:val="901"/>
    <w:next w:val="910"/>
    <w:link w:val="896"/>
  </w:style>
  <w:style w:type="paragraph" w:styleId="911">
    <w:name w:val="ConsPlusNonformat"/>
    <w:next w:val="911"/>
    <w:link w:val="89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2">
    <w:name w:val="ConsPlusCell"/>
    <w:next w:val="912"/>
    <w:link w:val="896"/>
    <w:pPr>
      <w:widowControl w:val="off"/>
    </w:pPr>
    <w:rPr>
      <w:rFonts w:ascii="Arial" w:hAnsi="Arial" w:cs="Arial"/>
      <w:lang w:val="ru-RU" w:eastAsia="ru-RU" w:bidi="ar-SA"/>
    </w:rPr>
  </w:style>
  <w:style w:type="table" w:styleId="913">
    <w:name w:val="Сетка таблицы"/>
    <w:basedOn w:val="902"/>
    <w:next w:val="913"/>
    <w:link w:val="896"/>
    <w:tblPr/>
  </w:style>
  <w:style w:type="paragraph" w:styleId="914">
    <w:name w:val="Текст выноски"/>
    <w:basedOn w:val="896"/>
    <w:next w:val="914"/>
    <w:link w:val="896"/>
    <w:semiHidden/>
    <w:rPr>
      <w:rFonts w:ascii="Tahoma" w:hAnsi="Tahoma" w:cs="Tahoma"/>
      <w:sz w:val="16"/>
      <w:szCs w:val="16"/>
    </w:rPr>
  </w:style>
  <w:style w:type="paragraph" w:styleId="915">
    <w:name w:val="Основной текст с отступом 3"/>
    <w:basedOn w:val="896"/>
    <w:next w:val="915"/>
    <w:link w:val="896"/>
    <w:pPr>
      <w:ind w:left="283"/>
      <w:spacing w:after="120"/>
    </w:pPr>
    <w:rPr>
      <w:sz w:val="16"/>
      <w:szCs w:val="16"/>
    </w:rPr>
  </w:style>
  <w:style w:type="paragraph" w:styleId="916">
    <w:name w:val="Название объекта"/>
    <w:basedOn w:val="896"/>
    <w:next w:val="896"/>
    <w:link w:val="896"/>
    <w:qFormat/>
    <w:pPr>
      <w:jc w:val="center"/>
    </w:pPr>
    <w:rPr>
      <w:b/>
      <w:i/>
      <w:sz w:val="56"/>
      <w:szCs w:val="20"/>
    </w:rPr>
  </w:style>
  <w:style w:type="paragraph" w:styleId="917">
    <w:name w:val="Основной текст 3"/>
    <w:basedOn w:val="896"/>
    <w:next w:val="917"/>
    <w:link w:val="896"/>
    <w:pPr>
      <w:spacing w:after="120"/>
    </w:pPr>
    <w:rPr>
      <w:sz w:val="16"/>
      <w:szCs w:val="16"/>
    </w:rPr>
  </w:style>
  <w:style w:type="paragraph" w:styleId="918">
    <w:name w:val="Основной текст 2"/>
    <w:basedOn w:val="896"/>
    <w:next w:val="918"/>
    <w:link w:val="896"/>
    <w:pPr>
      <w:spacing w:after="120" w:line="480" w:lineRule="auto"/>
    </w:pPr>
  </w:style>
  <w:style w:type="paragraph" w:styleId="919">
    <w:name w:val="Знак"/>
    <w:basedOn w:val="896"/>
    <w:next w:val="919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character" w:styleId="920">
    <w:name w:val="Гиперссылка"/>
    <w:next w:val="920"/>
    <w:link w:val="896"/>
    <w:rPr>
      <w:color w:val="0000ff"/>
      <w:u w:val="single"/>
    </w:rPr>
  </w:style>
  <w:style w:type="paragraph" w:styleId="921">
    <w:name w:val=" Знак"/>
    <w:basedOn w:val="896"/>
    <w:next w:val="921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 Char Знак"/>
    <w:basedOn w:val="896"/>
    <w:next w:val="922"/>
    <w:link w:val="8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3">
    <w:name w:val="Default"/>
    <w:next w:val="923"/>
    <w:link w:val="896"/>
    <w:rPr>
      <w:rFonts w:eastAsia="Calibri"/>
      <w:color w:val="000000"/>
      <w:sz w:val="24"/>
      <w:szCs w:val="24"/>
      <w:lang w:val="ru-RU" w:eastAsia="ru-RU" w:bidi="ar-SA"/>
    </w:rPr>
  </w:style>
  <w:style w:type="character" w:styleId="924">
    <w:name w:val="Верхний колонтитул Знак"/>
    <w:next w:val="924"/>
    <w:link w:val="908"/>
    <w:uiPriority w:val="99"/>
    <w:rPr>
      <w:sz w:val="24"/>
      <w:szCs w:val="24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BoriskinaGN</cp:lastModifiedBy>
  <cp:revision>7</cp:revision>
  <dcterms:created xsi:type="dcterms:W3CDTF">2024-05-21T07:29:00Z</dcterms:created>
  <dcterms:modified xsi:type="dcterms:W3CDTF">2025-09-10T11:40:21Z</dcterms:modified>
  <cp:version>983040</cp:version>
</cp:coreProperties>
</file>