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885825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5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</w:p>
    <w:p>
      <w:pPr>
        <w:pStyle w:val="656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4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от  </w:t>
      </w:r>
      <w:r>
        <w:t xml:space="preserve">      </w:t>
      </w:r>
      <w:r>
        <w:t xml:space="preserve">декабрь</w:t>
      </w:r>
      <w:r>
        <w:t xml:space="preserve"> </w:t>
      </w:r>
      <w:r>
        <w:t xml:space="preserve">202</w:t>
      </w:r>
      <w:r>
        <w:t xml:space="preserve">5</w:t>
      </w:r>
      <w:r>
        <w:t xml:space="preserve"> года                                                                     </w:t>
      </w:r>
      <w:r>
        <w:t xml:space="preserve">                          № </w:t>
      </w:r>
      <w:r/>
    </w:p>
    <w:p>
      <w:pPr>
        <w:jc w:val="center"/>
      </w:pPr>
      <w:r/>
      <w:r/>
    </w:p>
    <w:p>
      <w:pPr>
        <w:pStyle w:val="65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</w:p>
    <w:p>
      <w:pPr>
        <w:jc w:val="center"/>
        <w:rPr>
          <w:b/>
        </w:rPr>
      </w:pPr>
      <w:r>
        <w:rPr>
          <w:b/>
        </w:rPr>
        <w:t xml:space="preserve">О внесении изменени</w:t>
      </w:r>
      <w:r>
        <w:rPr>
          <w:b/>
        </w:rPr>
        <w:t xml:space="preserve">й</w:t>
      </w:r>
      <w:r>
        <w:rPr>
          <w:b/>
        </w:rPr>
        <w:t xml:space="preserve"> в </w:t>
      </w:r>
      <w:r>
        <w:rPr>
          <w:b/>
        </w:rPr>
        <w:t xml:space="preserve">приложение 1 </w:t>
      </w:r>
      <w:r>
        <w:rPr>
          <w:b/>
        </w:rPr>
        <w:t xml:space="preserve">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администрации</w:t>
      </w:r>
      <w:r>
        <w:rPr>
          <w:b/>
        </w:rPr>
        <w:t xml:space="preserve"> </w:t>
      </w:r>
      <w:r>
        <w:rPr>
          <w:b/>
        </w:rPr>
        <w:t xml:space="preserve">              </w:t>
      </w: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  <w:t xml:space="preserve">от 13 ноября 2018 года № 1092</w:t>
      </w: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</w:pP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1.Дополнить пункт 3 приложения 1 «Положение о конкурсе «Спортивная элита»»</w:t>
      </w:r>
      <w:r>
        <w:rPr>
          <w:highlight w:val="none"/>
        </w:rPr>
        <w:t xml:space="preserve"> к постановлению администрации Белоярского района от 13 ноября 2018 года № 1092 «О проведении конкурса «Спортивная элита»» подпунктом 14/1, изложив его в следующей редакции:</w:t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4820"/>
      </w:tblGrid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both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14/1</w:t>
            </w:r>
            <w:r>
              <w:rPr>
                <w:highlight w:val="none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both"/>
              <w:keepLines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bCs/>
                <w:iCs/>
                <w:sz w:val="24"/>
                <w:szCs w:val="24"/>
              </w:rPr>
              <w:t xml:space="preserve">«Лучшие спортсмены Фестиваля Всероссийского физкультурно-спортивного комплекса «Готов к труду и обороне» – «Игры ГТО» среди лиц, занятых трудовой деятельностью, неработающего населения и трудовых коллективов»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both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Критерии оценки: победители и призеры </w:t>
            </w:r>
            <w:r>
              <w:rPr>
                <w:bCs/>
                <w:iCs/>
                <w:sz w:val="24"/>
                <w:szCs w:val="24"/>
              </w:rPr>
              <w:t xml:space="preserve">Фестиваля Всероссийского физкультурно-спортивного комплекса «Готов к труду и обороне» – «Игры ГТО» среди лиц, занятых трудовой деятельностью, неработающего населения и трудовых коллективов»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8"/>
        <w:jc w:val="right"/>
        <w:keepLines/>
        <w:rPr>
          <w:highlight w:val="none"/>
        </w:rPr>
      </w:pP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2. Подпункт 4.1. пункта 4 приложения 1 </w:t>
      </w:r>
      <w:r>
        <w:rPr>
          <w:highlight w:val="none"/>
        </w:rPr>
        <w:t xml:space="preserve">«Положение о конкурсе «Спортивная элита»» к постановлению администрации Белоярского района от 13 ноября 2018 года № 1092 «О проведении конкурса «Спортивная элита»»</w:t>
      </w:r>
      <w:r>
        <w:rPr>
          <w:highlight w:val="none"/>
        </w:rPr>
        <w:t xml:space="preserve"> изложить в следующей редакции:              «4.1. </w:t>
      </w:r>
      <w:r>
        <w:rPr>
          <w:highlight w:val="none"/>
        </w:rPr>
        <w:t xml:space="preserve">Подведение итогов и определение победителей Конкурса в номинациях осуществляет конкурсная комиссия в соответствии с критериями, указанными в таблице, содержащейся в разделе 3 настоящего Положения, на основании конкурсных заявок и приложенных к ним материало</w:t>
      </w:r>
      <w:r>
        <w:rPr>
          <w:highlight w:val="none"/>
        </w:rPr>
        <w:t xml:space="preserve">в, кроме номинаций, указанных в пунктах 12, 13, 14, 14/1, 15 таблицы.</w:t>
      </w:r>
      <w:r>
        <w:rPr>
          <w:highlight w:val="none"/>
        </w:rPr>
        <w:t xml:space="preserve">»</w:t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3. Подпункт 4.2. пункта 4 </w:t>
      </w:r>
      <w:r>
        <w:rPr>
          <w:highlight w:val="none"/>
        </w:rPr>
        <w:t xml:space="preserve">приложения 1 </w:t>
      </w:r>
      <w:r>
        <w:rPr>
          <w:highlight w:val="none"/>
        </w:rPr>
        <w:t xml:space="preserve">«Положение о конкурсе «Спортивная элита»» к постановлению администрации Белоярского района от 13 ноября 2018 года             № 1092 «О проведении конкурса «Спортивная элита»»</w:t>
      </w:r>
      <w:r>
        <w:rPr>
          <w:highlight w:val="none"/>
        </w:rPr>
        <w:t xml:space="preserve"> изложить в следующей редакции:</w:t>
      </w:r>
      <w:r>
        <w:rPr>
          <w:highlight w:val="none"/>
        </w:rPr>
        <w:t xml:space="preserve"> «4.2.</w:t>
      </w:r>
      <w:r>
        <w:rPr>
          <w:highlight w:val="none"/>
        </w:rPr>
        <w:t xml:space="preserve">Подведение итогов по номинациям, указанным в пунктах 12, 13, 14, 14/1, 15 таблицы, содержащейся в разделе 3 настоящего Положения, осуществляется на основании итоговых протоколов соревнований по видам спорта и/или приказов командирующей организации.</w:t>
      </w:r>
      <w:r>
        <w:rPr>
          <w:highlight w:val="none"/>
        </w:rPr>
        <w:t xml:space="preserve">»</w:t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4. Подпункт 5.2. пункта 5 </w:t>
      </w:r>
      <w:r>
        <w:rPr>
          <w:highlight w:val="none"/>
        </w:rPr>
        <w:t xml:space="preserve">приложения 1 </w:t>
      </w:r>
      <w:r>
        <w:rPr>
          <w:highlight w:val="none"/>
        </w:rPr>
        <w:t xml:space="preserve">«Положение о конкурсе «Спортивная элита»» к постановлению администрации Белоярского района от 13 ноября 2018 года             № 1092 «О проведении конкурса «Спортивная элита»»</w:t>
      </w:r>
      <w:r>
        <w:rPr>
          <w:highlight w:val="none"/>
        </w:rPr>
        <w:t xml:space="preserve"> дополнить подпунктом 15, изложив его в следующей редакции:</w:t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keepLines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118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keepLines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bCs/>
                <w:iCs/>
                <w:sz w:val="24"/>
                <w:szCs w:val="24"/>
              </w:rPr>
              <w:t xml:space="preserve">«Лучшие спортсмены Фестиваля Всероссийского физкультурно-спортивного комплекса «Готов к труду и обороне» – «Игры ГТО» среди лиц, занятых трудовой деятельностью, неработающего населения и трудовых коллективов»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1 место - 4000</w:t>
            </w:r>
            <w:r>
              <w:rPr>
                <w:highlight w:val="none"/>
              </w:rPr>
            </w:r>
          </w:p>
          <w:p>
            <w:pPr>
              <w:jc w:val="center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2 место - 3000</w:t>
            </w:r>
            <w:r>
              <w:rPr>
                <w:highlight w:val="none"/>
              </w:rPr>
            </w:r>
          </w:p>
          <w:p>
            <w:pPr>
              <w:jc w:val="center"/>
              <w:keepLines/>
              <w:rPr>
                <w:highlight w:val="none"/>
              </w:rPr>
            </w:pPr>
            <w:r>
              <w:rPr>
                <w:highlight w:val="none"/>
              </w:rPr>
              <w:t xml:space="preserve">3 место - 2000</w:t>
            </w:r>
            <w:r>
              <w:rPr>
                <w:highlight w:val="none"/>
              </w:rPr>
            </w:r>
          </w:p>
        </w:tc>
      </w:tr>
    </w:tbl>
    <w:p>
      <w:pPr>
        <w:ind w:firstLine="708"/>
        <w:jc w:val="right"/>
        <w:keepLines/>
        <w:rPr>
          <w:highlight w:val="none"/>
        </w:rPr>
      </w:pP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ind w:firstLine="720"/>
        <w:jc w:val="both"/>
      </w:pPr>
      <w:r>
        <w:t xml:space="preserve">5</w:t>
      </w:r>
      <w:r>
        <w:t xml:space="preserve">. </w:t>
      </w:r>
      <w:r>
        <w:t xml:space="preserve">Опубликовать нас</w:t>
      </w:r>
      <w:r>
        <w:t xml:space="preserve">тоящее постановление в газетах «Белоярские вести», «</w:t>
      </w:r>
      <w:r>
        <w:t xml:space="preserve">Белоя</w:t>
      </w:r>
      <w:r>
        <w:t xml:space="preserve">рские вести. Официальный выпуск»</w:t>
      </w:r>
      <w:r>
        <w:t xml:space="preserve">.</w:t>
      </w:r>
      <w:r/>
    </w:p>
    <w:p>
      <w:pPr>
        <w:ind w:firstLine="720"/>
        <w:jc w:val="both"/>
      </w:pPr>
      <w:r>
        <w:t xml:space="preserve">6</w:t>
      </w:r>
      <w:r>
        <w:t xml:space="preserve">. 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ind w:firstLine="720"/>
        <w:jc w:val="both"/>
      </w:pPr>
      <w:r>
        <w:t xml:space="preserve">7</w:t>
      </w:r>
      <w:r>
        <w:t xml:space="preserve">. </w:t>
      </w:r>
      <w: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jc w:val="both"/>
      </w:pPr>
      <w:r/>
      <w:r/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7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7"/>
    <w:link w:val="65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5">
    <w:name w:val="Footer Char"/>
    <w:basedOn w:val="657"/>
    <w:link w:val="68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0"/>
    <w:qFormat/>
    <w:pPr>
      <w:jc w:val="center"/>
      <w:keepNext/>
      <w:outlineLvl w:val="0"/>
    </w:pPr>
    <w:rPr>
      <w:b/>
      <w:sz w:val="28"/>
      <w:szCs w:val="20"/>
    </w:rPr>
  </w:style>
  <w:style w:type="paragraph" w:styleId="655">
    <w:name w:val="Heading 2"/>
    <w:basedOn w:val="653"/>
    <w:next w:val="653"/>
    <w:link w:val="662"/>
    <w:qFormat/>
    <w:pPr>
      <w:jc w:val="center"/>
      <w:keepNext/>
      <w:outlineLvl w:val="1"/>
    </w:pPr>
    <w:rPr>
      <w:b/>
      <w:szCs w:val="20"/>
    </w:rPr>
  </w:style>
  <w:style w:type="paragraph" w:styleId="656">
    <w:name w:val="Heading 3"/>
    <w:basedOn w:val="653"/>
    <w:next w:val="653"/>
    <w:link w:val="663"/>
    <w:qFormat/>
    <w:pPr>
      <w:jc w:val="center"/>
      <w:keepNext/>
      <w:outlineLvl w:val="2"/>
    </w:pPr>
    <w:rPr>
      <w:sz w:val="28"/>
      <w:szCs w:val="20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54"/>
    <w:rPr>
      <w:b/>
      <w:sz w:val="28"/>
      <w:lang w:val="ru-RU" w:eastAsia="ru-RU" w:bidi="ar-SA"/>
    </w:rPr>
  </w:style>
  <w:style w:type="paragraph" w:styleId="661" w:customStyle="1">
    <w:name w:val="Знак1 Знак Знак Знак1"/>
    <w:basedOn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62" w:customStyle="1">
    <w:name w:val="Заголовок 2 Знак"/>
    <w:basedOn w:val="657"/>
    <w:link w:val="655"/>
    <w:semiHidden/>
    <w:rPr>
      <w:b/>
      <w:sz w:val="24"/>
      <w:lang w:val="ru-RU" w:eastAsia="ru-RU" w:bidi="ar-SA"/>
    </w:rPr>
  </w:style>
  <w:style w:type="character" w:styleId="663" w:customStyle="1">
    <w:name w:val="Заголовок 3 Знак"/>
    <w:basedOn w:val="657"/>
    <w:link w:val="656"/>
    <w:semiHidden/>
    <w:rPr>
      <w:sz w:val="28"/>
      <w:lang w:val="ru-RU" w:eastAsia="ru-RU" w:bidi="ar-SA"/>
    </w:rPr>
  </w:style>
  <w:style w:type="paragraph" w:styleId="6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665" w:customStyle="1">
    <w:name w:val="ConsPlusTitle"/>
    <w:pPr>
      <w:widowControl w:val="off"/>
    </w:pPr>
    <w:rPr>
      <w:b/>
      <w:bCs/>
      <w:sz w:val="24"/>
      <w:szCs w:val="24"/>
    </w:rPr>
  </w:style>
  <w:style w:type="paragraph" w:styleId="66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7" w:customStyle="1">
    <w:name w:val="ConsPlusCell"/>
    <w:pPr>
      <w:widowControl w:val="off"/>
    </w:pPr>
    <w:rPr>
      <w:rFonts w:ascii="Arial" w:hAnsi="Arial" w:cs="Arial"/>
    </w:rPr>
  </w:style>
  <w:style w:type="paragraph" w:styleId="668" w:customStyle="1">
    <w:name w:val="Знак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69">
    <w:name w:val="Hyperlink"/>
    <w:basedOn w:val="657"/>
    <w:rPr>
      <w:color w:val="0000ff"/>
      <w:u w:val="single"/>
    </w:rPr>
  </w:style>
  <w:style w:type="paragraph" w:styleId="670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671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672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 w:customStyle="1">
    <w:name w:val="Знак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4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7" w:customStyle="1">
    <w:name w:val="Знак1 Знак Знак Знак Знак Знак Знак Знак Знак1 Char"/>
    <w:basedOn w:val="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8">
    <w:name w:val="Header"/>
    <w:basedOn w:val="653"/>
    <w:link w:val="679"/>
    <w:unhideWhenUsed/>
    <w:pPr>
      <w:tabs>
        <w:tab w:val="center" w:pos="4677" w:leader="none"/>
        <w:tab w:val="right" w:pos="9355" w:leader="none"/>
      </w:tabs>
    </w:pPr>
  </w:style>
  <w:style w:type="character" w:styleId="679" w:customStyle="1">
    <w:name w:val="Верхний колонтитул Знак"/>
    <w:basedOn w:val="657"/>
    <w:link w:val="678"/>
    <w:rPr>
      <w:sz w:val="24"/>
      <w:szCs w:val="24"/>
    </w:rPr>
  </w:style>
  <w:style w:type="paragraph" w:styleId="680">
    <w:name w:val="Footer"/>
    <w:basedOn w:val="653"/>
    <w:link w:val="681"/>
    <w:unhideWhenUsed/>
    <w:pPr>
      <w:tabs>
        <w:tab w:val="center" w:pos="4677" w:leader="none"/>
        <w:tab w:val="right" w:pos="9355" w:leader="none"/>
      </w:tabs>
    </w:pPr>
  </w:style>
  <w:style w:type="character" w:styleId="681" w:customStyle="1">
    <w:name w:val="Нижний колонтитул Знак"/>
    <w:basedOn w:val="657"/>
    <w:link w:val="680"/>
    <w:rPr>
      <w:sz w:val="24"/>
      <w:szCs w:val="24"/>
    </w:rPr>
  </w:style>
  <w:style w:type="paragraph" w:styleId="1_88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D482-15E9-4716-886D-8CBB8806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KDM1</cp:lastModifiedBy>
  <cp:revision>6</cp:revision>
  <dcterms:created xsi:type="dcterms:W3CDTF">2025-02-17T05:51:00Z</dcterms:created>
  <dcterms:modified xsi:type="dcterms:W3CDTF">2025-12-02T09:45:18Z</dcterms:modified>
</cp:coreProperties>
</file>