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/>
                <w:b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26.12.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185848CE"/>
    <w:rsid w:val="1F861E18"/>
    <w:rsid w:val="25467911"/>
    <w:rsid w:val="4B95140A"/>
    <w:rsid w:val="50A90064"/>
    <w:rsid w:val="56E96E56"/>
    <w:rsid w:val="60386F9F"/>
    <w:rsid w:val="65D24040"/>
    <w:rsid w:val="7583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677</Words>
  <Characters>3862</Characters>
  <Lines>32</Lines>
  <Paragraphs>9</Paragraphs>
  <TotalTime>0</TotalTime>
  <ScaleCrop>false</ScaleCrop>
  <LinksUpToDate>false</LinksUpToDate>
  <CharactersWithSpaces>4530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2021-04-13T04:37:00Z</cp:lastPrinted>
  <dcterms:modified xsi:type="dcterms:W3CDTF">2023-12-13T10:53:05Z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F1F6BF114917418889C627A2DB311041_13</vt:lpwstr>
  </property>
</Properties>
</file>