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E02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 w14:paraId="4AC248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14:paraId="3835A31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955482B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b/>
          <w:bCs w:val="0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>Настоящим управление по архитектуре и градостроительству администрации Белоярского района уведомляет о проведении публичных консультаций в целях экспертизы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highlight w:val="lightGray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lang w:eastAsia="ru-RU"/>
        </w:rPr>
        <w:t>постановления администрации Белоярского района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val="en-US" w:eastAsia="ru-RU"/>
        </w:rPr>
        <w:t xml:space="preserve"> от 15 июня 2021 года № 495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lang w:eastAsia="ru-RU"/>
        </w:rPr>
        <w:t xml:space="preserve"> «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eastAsia="ru-RU"/>
        </w:rPr>
        <w:t xml:space="preserve">О внесении изменений в приложение к постановлению администрации Белоярского района от 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val="en-US" w:eastAsia="ru-RU"/>
        </w:rPr>
        <w:t>5 сентября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eastAsia="ru-RU"/>
        </w:rPr>
        <w:t xml:space="preserve"> 201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eastAsia="ru-RU"/>
        </w:rPr>
        <w:t xml:space="preserve"> года № 12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val="en-US" w:eastAsia="ru-RU"/>
        </w:rPr>
        <w:t>71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>» (далее – нормативный правовой акт).</w:t>
      </w:r>
    </w:p>
    <w:p w14:paraId="5CA9250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района.</w:t>
      </w:r>
    </w:p>
    <w:p w14:paraId="055B387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3"/>
          <w:szCs w:val="23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3"/>
          <w:szCs w:val="23"/>
          <w:lang w:val="en-US" w:eastAsia="ru-RU"/>
        </w:rPr>
        <w:t>28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10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–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22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11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4</w:t>
      </w:r>
    </w:p>
    <w:p w14:paraId="0A38472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 w14:paraId="4F2121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или в форме документа на бумажном носителе по почте: 628162, ул. Центральная, д. 9, 1 этаж,                              г. Белоярский, Белоярский район, Ханты-Мансийский автономный округ – Югра.</w:t>
      </w:r>
    </w:p>
    <w:p w14:paraId="663959A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 w14:paraId="3CCCCF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начальник управления по архитектуре и градостроительству администрации Белоярского района Серебренников Максим Фёдорович, тел.: 8(34670)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62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150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</w:p>
    <w:p w14:paraId="505779C5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50CFCCAA"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E30798">
            <w:pPr>
              <w:pStyle w:val="7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 предоставления муниципальной услуги «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eastAsia="ru-RU"/>
              </w:rPr>
              <w:t>Выдача разрешений на установку и эксплуатацию рекламных конструкций, аннулирование таких разрешений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»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лица.</w:t>
            </w:r>
          </w:p>
          <w:p w14:paraId="4684E9C0">
            <w:pPr>
              <w:pStyle w:val="7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 w14:paraId="7CBF9133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14:paraId="1D6B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C38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 w14:paraId="37EC4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 w14:paraId="75D3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 w14:paraId="04A3365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27164"/>
    <w:rsid w:val="00131545"/>
    <w:rsid w:val="001D4DD2"/>
    <w:rsid w:val="00215070"/>
    <w:rsid w:val="00223A0C"/>
    <w:rsid w:val="00333186"/>
    <w:rsid w:val="00343CAD"/>
    <w:rsid w:val="00481B26"/>
    <w:rsid w:val="004B29DD"/>
    <w:rsid w:val="0050705C"/>
    <w:rsid w:val="0057097E"/>
    <w:rsid w:val="00584152"/>
    <w:rsid w:val="0065578B"/>
    <w:rsid w:val="006E2F38"/>
    <w:rsid w:val="00764441"/>
    <w:rsid w:val="00782844"/>
    <w:rsid w:val="00787E30"/>
    <w:rsid w:val="007948EE"/>
    <w:rsid w:val="008A23EE"/>
    <w:rsid w:val="009D3C3C"/>
    <w:rsid w:val="00A12E05"/>
    <w:rsid w:val="00A21920"/>
    <w:rsid w:val="00AF6EC7"/>
    <w:rsid w:val="00B50C58"/>
    <w:rsid w:val="00D0315B"/>
    <w:rsid w:val="00DA1705"/>
    <w:rsid w:val="00DA5896"/>
    <w:rsid w:val="00DB4FD8"/>
    <w:rsid w:val="00E53E69"/>
    <w:rsid w:val="00EC3141"/>
    <w:rsid w:val="00EE439D"/>
    <w:rsid w:val="00F044D3"/>
    <w:rsid w:val="00F33C01"/>
    <w:rsid w:val="015A4A55"/>
    <w:rsid w:val="08411078"/>
    <w:rsid w:val="2B6A0836"/>
    <w:rsid w:val="2DB36952"/>
    <w:rsid w:val="3115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semiHidden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autoRedefine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BFF7-6955-4B98-864A-0C4C924AFF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507</Words>
  <Characters>2890</Characters>
  <Lines>24</Lines>
  <Paragraphs>6</Paragraphs>
  <TotalTime>0</TotalTime>
  <ScaleCrop>false</ScaleCrop>
  <LinksUpToDate>false</LinksUpToDate>
  <CharactersWithSpaces>3391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Юлия Ягодка</cp:lastModifiedBy>
  <cp:lastPrinted>2024-10-28T09:52:00Z</cp:lastPrinted>
  <dcterms:modified xsi:type="dcterms:W3CDTF">2024-10-28T10:00:20Z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A7F69ED161114FE7BE8A7A90F0049111_12</vt:lpwstr>
  </property>
</Properties>
</file>