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s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4117455" name=""/>
                        <pic:cNvPicPr/>
                        <pic:nvPr/>
                      </pic:nvPicPr>
                      <pic:blipFill>
                        <a:blip r:embed="rId9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645158" cy="885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БЕЛОЯРСКИЙ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РАЙОН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left="0" w:right="0" w:firstLine="0"/>
        <w:jc w:val="center"/>
        <w:keepNext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ХАНТЫ-МАНСИЙСКИЙ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АВТОНОМНЫЙ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ОКРУГ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–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ЮГРА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right"/>
        <w:keepNext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center"/>
        <w:keepNext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 w:bidi="ru-RU"/>
        </w:rPr>
        <w:t xml:space="preserve">КОМИТЕТ</w:t>
      </w:r>
      <w:r>
        <w:rPr>
          <w:rFonts w:ascii="TimesNewRoman" w:hAnsi="TimesNewRoman" w:eastAsia="TimesNewRoman" w:cs="TimesNewRoman"/>
          <w:b/>
          <w:bCs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b/>
          <w:bCs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 w:bidi="ru-RU"/>
        </w:rPr>
        <w:t xml:space="preserve">ФИНАНСАМ</w:t>
      </w:r>
      <w:r>
        <w:rPr>
          <w:rFonts w:ascii="TimesNewRoman" w:hAnsi="TimesNewRoman" w:eastAsia="TimesNewRoman" w:cs="TimesNewRoman"/>
          <w:b/>
          <w:bCs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b/>
          <w:bCs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 w:bidi="ru-RU"/>
        </w:rPr>
        <w:t xml:space="preserve">НАЛОГОВОЙ</w:t>
      </w:r>
      <w:r>
        <w:rPr>
          <w:rFonts w:ascii="TimesNewRoman" w:hAnsi="TimesNewRoman" w:eastAsia="TimesNewRoman" w:cs="TimesNewRoman"/>
          <w:b/>
          <w:bCs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 w:bidi="ru-RU"/>
        </w:rPr>
        <w:t xml:space="preserve">ПОЛИТИКЕ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8417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8607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keepNext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 w:bidi="ru-RU"/>
        </w:rPr>
        <w:t xml:space="preserve">РАСПОРЯЖЕНИЕ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8417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ПРОЕКТ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«___»____________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2026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                                                 </w:t>
        <w:tab/>
        <w:tab/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№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  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                                                                                            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100" w:lineRule="atLeast"/>
        <w:rPr>
          <w:rFonts w:ascii="TimesNewRoman" w:hAnsi="TimesNewRoman" w:eastAsia="TimesNewRoman" w:cs="TimesNewRoman"/>
          <w:color w:val="000000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100" w:lineRule="atLeast"/>
        <w:rPr>
          <w:rFonts w:ascii="TimesNewRoman" w:hAnsi="TimesNewRoman" w:eastAsia="TimesNewRoman" w:cs="TimesNewRoman"/>
          <w:color w:val="000000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внесении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изменения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типовую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форму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соглашения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мерах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социально-экономическому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развитию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оздоровлению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муниципальных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финансов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района,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утвержденную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распоряжением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Комитета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налоговой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политике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администрации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района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от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21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января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2022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года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№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white"/>
          <w:lang w:val="ru-RU" w:bidi="ru-RU"/>
        </w:rPr>
        <w:t xml:space="preserve"> 1-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соответствии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постановлением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Правительства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Ханты-Мансийского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автономного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округа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–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24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декабря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2021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№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585-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«О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которые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предусматривают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меры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социально-экономическому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развитию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оздоровлению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муниципальных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муниципальных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городских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округов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Ханты-Мансийского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автономного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округа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Югры»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: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Внести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типовую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форму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мерах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социально-экономическому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развитию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оздоровлению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муниципальных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утвержденную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распоряжением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налоговой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политике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администрации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января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2022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№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1-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«Об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утверждении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типовой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формы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мерах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социально-экономическому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развитию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оздоровлению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муниципальных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района»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изменения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изложив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ее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редакции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согласно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приложению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настоящему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распоряжению.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Настоящее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распоряжение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вступает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силу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момента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подписания.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Заместитель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главы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района,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председатель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                                              </w:t>
        <w:tab/>
        <w:tab/>
        <w:tab/>
        <w:tab/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И.А.Плохих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налоговой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политике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администрации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left"/>
        <w:spacing w:before="0" w:after="160" w:line="259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tbl>
      <w:tblPr>
        <w:tblStyle w:val="968"/>
        <w:tblW w:w="0" w:type="auto"/>
        <w:tblInd w:w="521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0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Приложение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к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распоряжению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Комитета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по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финансам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и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налоговой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политике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администрации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Белоярского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от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«____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»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______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года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№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____-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tbl>
      <w:tblPr>
        <w:tblStyle w:val="968"/>
        <w:tblW w:w="0" w:type="auto"/>
        <w:tblInd w:w="521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0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Приложение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к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распоряжению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Комитета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по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финансам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и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налоговой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политике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администрации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Белоярского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от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«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»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января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2022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года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№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1 -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№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___</w:t>
      </w:r>
      <w:r>
        <w:rPr>
          <w:rFonts w:ascii="TimesNewRoman" w:hAnsi="TimesNewRoman" w:eastAsia="TimesNewRoman" w:cs="TimesNewRoman"/>
          <w:sz w:val="22"/>
          <w:szCs w:val="22"/>
          <w:highlight w:val="white"/>
        </w:rPr>
      </w:r>
      <w:r>
        <w:rPr>
          <w:rFonts w:ascii="TimesNewRoman" w:hAnsi="TimesNewRoman" w:eastAsia="TimesNewRoman" w:cs="TimesNewRoman"/>
          <w:sz w:val="22"/>
          <w:szCs w:val="22"/>
          <w:highlight w:val="white"/>
        </w:rPr>
      </w:r>
    </w:p>
    <w:p>
      <w:pPr>
        <w:pStyle w:val="973"/>
        <w:ind w:left="0" w:righ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мерах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социально-экономическому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развитию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оздоровлению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муниципальных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sz w:val="22"/>
          <w:szCs w:val="22"/>
          <w:highlight w:val="white"/>
        </w:rPr>
      </w:r>
      <w:r>
        <w:rPr>
          <w:rFonts w:ascii="TimesNewRoman" w:hAnsi="TimesNewRoman" w:eastAsia="TimesNewRoman" w:cs="TimesNewRoman"/>
          <w:sz w:val="22"/>
          <w:szCs w:val="22"/>
          <w:highlight w:val="white"/>
        </w:rPr>
      </w:r>
    </w:p>
    <w:p>
      <w:pPr>
        <w:ind w:left="0" w:right="0" w:firstLine="0"/>
        <w:jc w:val="center"/>
        <w:spacing w:before="0" w:after="0" w:line="276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_______________________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20___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left"/>
        <w:spacing w:before="0" w:after="0" w:line="276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Белоярский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«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____________20__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налоговой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политике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администрации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именуемый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дальнейшем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«Комитет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финансам»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лице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заместителя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главы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председателя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налоговой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политике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администрации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___________________,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действующего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основании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Положения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налоговой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политике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администрации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утвержденного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решением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Думы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23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декабря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2009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№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174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«Об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утверждении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Положения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налоговой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политике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администрации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района»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одной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стороны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муниципальное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образование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_____________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________________,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являющееся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получателем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дотации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выравнивание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бюджетной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обеспеченности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из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именуемое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дальнейшем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«Получатель»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лице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главы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руководителя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исполнительно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распорядительного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органа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 ________________,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действующего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основании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Устава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______________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_____________,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другой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стороны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далее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именуемые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«Стороны»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соответствии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пунктом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6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статьи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142.1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кодекса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Российской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Федерации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постановлением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Правительства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Ханты-Мансийского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автономного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округа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–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24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декабря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2021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№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585-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«О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которые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предусматривают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меры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социально-экономическому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развитию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оздоровлению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муниципальных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муниципальных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городских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округов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Ханты-Мансийского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автономного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округа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–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Югры»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далее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Постановление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24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декабря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2021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№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585-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заключили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настоящее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нижеследующем.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3621" w:right="0" w:hanging="36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Предмет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360" w:leader="none"/>
        </w:tabs>
        <w:rPr>
          <w:rFonts w:ascii="Times New Roman" w:hAnsi="Times New Roman" w:eastAsia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Предметом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является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осуществление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мер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социально-экономическому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развитию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оздоровлению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муниципальных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являющегося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20___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получателем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дотации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выравнивание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бюджетной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обеспеченности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поселений 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из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далее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дотация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предусмотренной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решением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Думы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__________ 20__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№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«О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20__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плановый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период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20__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20__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годов».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360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3621" w:right="0" w:hanging="36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Права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обязанности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16"/>
          <w:szCs w:val="16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2.1.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Получатель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обязан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:</w:t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2.1.1.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Утвердить 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план мероприятий по реализации Соглашения (далее – План) с указанием ответственных исполнителей (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в должности не ниже руководителя структурного подразделения исполнительно-распорядительного органа поселения)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за каждое мероприятие Плана</w:t>
      </w:r>
      <w:r>
        <w:rPr>
          <w:rFonts w:ascii="Times New Roman" w:hAnsi="Times New Roman" w:eastAsia="Times New Roman" w:cs="Times New Roman"/>
          <w:strike w:val="0"/>
          <w:sz w:val="20"/>
          <w:szCs w:val="20"/>
          <w:highlight w:val="white"/>
          <w:u w:val="none"/>
          <w:vertAlign w:val="superscript"/>
          <w:lang w:val="ru-RU" w:bidi="ru-RU"/>
        </w:rPr>
        <w:t xml:space="preserve">1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. 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NewRoman" w:hAnsi="TimesNewRoman" w:eastAsia="TimesNewRoman" w:cs="TimesNewRoman"/>
          <w:sz w:val="16"/>
          <w:szCs w:val="16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2.1.2.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Осуществлять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меры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направленные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рост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налоговых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неналоговых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доходов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предусматривающие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:</w:t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</w:p>
    <w:p>
      <w:pPr>
        <w:ind w:left="0" w:right="0" w:firstLine="65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проведение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октября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текущего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финансового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оценки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эффективности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налоговых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расходов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65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представление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10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октября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текущего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финансового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результатов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оценки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эффективности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налоговых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расходов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658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обеспечение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роста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налоговых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неналоговых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доходов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итогам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текущий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финансовый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сравнению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уровнем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отчётный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финансовый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сопоставимых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условиях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процентах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).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2.1.3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Проводить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мероприятия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направленные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бюджетную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консолидацию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предусматривающие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: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2.1.3.1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Соблюдение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требований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законодательства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Российской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Федерации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: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)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соблюдение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требований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к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размеру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дефицита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местного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бюджета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установленных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hyperlink r:id="rId10" w:tooltip="https://login.consultant.ru/link/?req=doc&amp;base=LAW&amp;n=466790&amp;dst=1498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  <w:lang w:val="ru-RU" w:bidi="ru-RU"/>
          </w:rPr>
          <w:t xml:space="preserve">статьей</w:t>
        </w:r>
        <w:r>
          <w:rPr>
            <w:rFonts w:ascii="TimesNewRoman" w:hAnsi="TimesNewRoman" w:eastAsia="TimesNewRoman" w:cs="TimesNewRoman"/>
            <w:color w:val="000000"/>
            <w:sz w:val="24"/>
            <w:szCs w:val="24"/>
            <w:highlight w:val="white"/>
            <w:lang w:val="ru-RU" w:bidi="ru-RU"/>
          </w:rPr>
          <w:t xml:space="preserve"> 92.1</w:t>
        </w:r>
      </w:hyperlink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Бюджетного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кодекса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Российской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Федерации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б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)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соблюдение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требований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к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верхнему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пределу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муниципального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внутреннего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долга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установленных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hyperlink r:id="rId11" w:tooltip="https://login.consultant.ru/link/?req=doc&amp;base=LAW&amp;n=466790&amp;dst=5197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  <w:lang w:val="ru-RU" w:bidi="ru-RU"/>
          </w:rPr>
          <w:t xml:space="preserve">статьей</w:t>
        </w:r>
        <w:r>
          <w:rPr>
            <w:rFonts w:ascii="TimesNewRoman" w:hAnsi="TimesNewRoman" w:eastAsia="TimesNewRoman" w:cs="TimesNewRoman"/>
            <w:color w:val="000000"/>
            <w:sz w:val="24"/>
            <w:szCs w:val="24"/>
            <w:highlight w:val="white"/>
            <w:lang w:val="ru-RU" w:bidi="ru-RU"/>
          </w:rPr>
          <w:t xml:space="preserve"> 107</w:t>
        </w:r>
      </w:hyperlink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Бюджетного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кодекса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Российской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Федерации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)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соблюдение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требований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к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предельному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объему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муниципальных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заимствований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установленных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hyperlink r:id="rId12" w:tooltip="https://login.consultant.ru/link/?req=doc&amp;base=LAW&amp;n=466790&amp;dst=5192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  <w:lang w:val="ru-RU" w:bidi="ru-RU"/>
          </w:rPr>
          <w:t xml:space="preserve">статьей</w:t>
        </w:r>
        <w:r>
          <w:rPr>
            <w:rFonts w:ascii="TimesNewRoman" w:hAnsi="TimesNewRoman" w:eastAsia="TimesNewRoman" w:cs="TimesNewRoman"/>
            <w:color w:val="000000"/>
            <w:sz w:val="24"/>
            <w:szCs w:val="24"/>
            <w:highlight w:val="white"/>
            <w:lang w:val="ru-RU" w:bidi="ru-RU"/>
          </w:rPr>
          <w:t xml:space="preserve"> 106</w:t>
        </w:r>
      </w:hyperlink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Бюджетного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кодекса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Российской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Федерации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г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)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соблюдение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требований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к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объему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расходов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обслуживание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муниципального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долга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установленных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hyperlink r:id="rId13" w:tooltip="https://login.consultant.ru/link/?req=doc&amp;base=LAW&amp;n=466790&amp;dst=3514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  <w:lang w:val="ru-RU" w:bidi="ru-RU"/>
          </w:rPr>
          <w:t xml:space="preserve">статьей</w:t>
        </w:r>
        <w:r>
          <w:rPr>
            <w:rFonts w:ascii="TimesNewRoman" w:hAnsi="TimesNewRoman" w:eastAsia="TimesNewRoman" w:cs="TimesNewRoman"/>
            <w:color w:val="000000"/>
            <w:sz w:val="24"/>
            <w:szCs w:val="24"/>
            <w:highlight w:val="white"/>
            <w:lang w:val="ru-RU" w:bidi="ru-RU"/>
          </w:rPr>
          <w:t xml:space="preserve"> 111</w:t>
        </w:r>
      </w:hyperlink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Бюджетного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кодекса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Российской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Федерации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д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)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обеспечение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вступления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силу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с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начала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текущего финансового года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решения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бюджете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текущий финансовый год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плановый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период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2.1.3.2.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Осуществление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мер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повышению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эффективности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использования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средств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: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NewRoman" w:hAnsi="TimesNewRoman" w:eastAsia="TimesNewRoman" w:cs="TimesNewRoman"/>
          <w:strike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утверждение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обеспечение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выполнение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плана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мероприятий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росту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доходов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оптимизации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расходов бюджета 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сокращению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муниципального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долга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текущий финансовый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плановый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период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 установлением ответственных исполнителей 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(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в должности не ниже руководителя структурного подразделения исполнительно-распорядительного органа поселения)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 каждое мероприятие указанного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плана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vertAlign w:val="superscript"/>
          <w:lang w:val="ru-RU" w:bidi="ru-RU"/>
        </w:rPr>
        <w:footnoteReference w:id="2"/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NewRoman" w:hAnsi="TimesNewRoman" w:eastAsia="TimesNewRoman" w:cs="TimesNewRoman"/>
          <w:strike w:val="0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б) 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отсутствие решений, приводящих к увеличению численности лиц, замещающих муниципальные должности, должности муниципальной службы, а также работников органов местного самоуправления поселения (за исключением случаев принятия решений по наделению федеральны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ми законами, нормативными правовыми актами 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Ханты-Мансийского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автономного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округа – Югры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, представительного органа поселения функциями (полномочиями), ранее не осуществляемыми органами местного самоуправления поселения, изменения нормативной численнос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ти работников, осуществляющих переданные отдельные государственные полномочия, а также случаев передачи части полномочий в соответствии с заключенными соглашениями органами местного самоуправления поселения) и муниципальных учреждений (за исключ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ением случаев принятия решений по наделению федеральными законами, нормативными правовыми актами 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Ханты-Мансийского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автономного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округа – Югры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, представительного органа поселения функциями (полномочиями), ранее не осуществляемыми муниципальными учреждениями, по вводу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(приобретению) новых объектов капитального строительства, приобретению объектов недвижимого имущества);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NewRoman" w:hAnsi="TimesNewRoman" w:eastAsia="TimesNewRoman" w:cs="TimesNewRoman"/>
          <w:strike w:val="0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в)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неустановление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неисполнение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расходных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обязательств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не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связанных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с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решением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вопросов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отнесенных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Конституцией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Российской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Федерации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федеральными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законами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законами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Ханты-Мансийского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автономного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округа – Югры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к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полномочиям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органов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местного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самоуправления поселения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vertAlign w:val="superscript"/>
          <w:lang w:val="ru-RU" w:bidi="ru-RU"/>
        </w:rPr>
        <w:footnoteReference w:id="3"/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NewRoman" w:hAnsi="TimesNewRoman" w:eastAsia="TimesNewRoman" w:cs="TimesNewRoman"/>
          <w:sz w:val="22"/>
          <w:szCs w:val="22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г)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отсутствие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решений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повышении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оплаты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труда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работников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органов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местного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самоуправления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уровень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превышающий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темпы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сроки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повышения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оплаты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труда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работников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органов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государственной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власти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Ханты-Мансийского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автономного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округа – Югры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sz w:val="22"/>
          <w:szCs w:val="22"/>
          <w:highlight w:val="white"/>
        </w:rPr>
      </w:r>
      <w:r>
        <w:rPr>
          <w:rFonts w:ascii="TimesNewRoman" w:hAnsi="TimesNewRoman" w:eastAsia="TimesNewRoman" w:cs="TimesNewRoman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NewRoman" w:hAnsi="TimesNewRoman" w:eastAsia="TimesNewRoman" w:cs="TimesNewRoman"/>
          <w:sz w:val="22"/>
          <w:szCs w:val="22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д)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неустановление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новых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расходных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обязательств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без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учета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оценки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финансовых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возможностей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местного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оценки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ожидаемого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экономического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эффекта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принятия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sz w:val="22"/>
          <w:szCs w:val="22"/>
          <w:highlight w:val="white"/>
        </w:rPr>
      </w:r>
      <w:r>
        <w:rPr>
          <w:rFonts w:ascii="TimesNewRoman" w:hAnsi="TimesNewRoman" w:eastAsia="TimesNewRoman" w:cs="TimesNewRoman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NewRoman" w:hAnsi="TimesNewRoman" w:eastAsia="TimesNewRoman" w:cs="TimesNewRoman"/>
          <w:sz w:val="22"/>
          <w:szCs w:val="22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е)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отсутствие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просроченной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кредиторской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задолженности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sz w:val="22"/>
          <w:szCs w:val="22"/>
          <w:highlight w:val="white"/>
        </w:rPr>
      </w:r>
      <w:r>
        <w:rPr>
          <w:rFonts w:ascii="TimesNewRoman" w:hAnsi="TimesNewRoman" w:eastAsia="TimesNewRoman" w:cs="TimesNewRoman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NewRoman" w:hAnsi="TimesNewRoman" w:eastAsia="TimesNewRoman" w:cs="TimesNewRoman"/>
          <w:sz w:val="22"/>
          <w:szCs w:val="22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ж)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обеспечение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мер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направленных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снижение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просроченной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дебиторской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задолженности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sz w:val="22"/>
          <w:szCs w:val="22"/>
          <w:highlight w:val="white"/>
        </w:rPr>
      </w:r>
      <w:r>
        <w:rPr>
          <w:rFonts w:ascii="TimesNewRoman" w:hAnsi="TimesNewRoman" w:eastAsia="TimesNewRoman" w:cs="TimesNewRoman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з)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соблюдение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нормативов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формирования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расходов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оплату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труда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депутатов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выборных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должностных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лиц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местного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самоуправления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осуществляющих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свои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полномочия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постоянной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основе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муниципальных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служащих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содержание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органов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местного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самоуправления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муниципальных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образований 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Ханты-Мансийского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автономного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округа – Югры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установленных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постановлениями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Правительства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Ханты-Мансийского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автономного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округа – Югры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6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августа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2010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№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191-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«О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нормативах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формирования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расходов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содержание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органов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местного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самоуправления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Ханты-Мансийского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автономного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округа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Югры»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23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августа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2019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№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278-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«О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нормативах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формирования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расходов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оплату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труда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депутатов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выборных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должностных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лиц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местного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самоуправления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осуществляющих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свои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полномочия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постоянной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основе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муниципальных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служащих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Ханты-Мансийском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автономном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округе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–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Югре»;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  <w:tab w:val="left" w:pos="2551" w:leader="none"/>
          <w:tab w:val="left" w:pos="2835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направление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 на согласование проекта решения о бюджете на очередной финансовый год и плановый период  на предм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ет обеспечения в проекте бюджета поселения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 в полном объеме расходов на оплату труда и начисления на выплаты по оплате труда, коммунальные услуги, налоги, пошлины и сборы, обслуживание муниципального долга ежегодно, не позднее 1 ноября года, предшествующего очередному финансовому году;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 недопущение принятия проекта решения о бюджете на очередной финансовый год и плановый период без согласования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 на предмет обеспечения в проекте бюджета поселения в полном объеме расходов на оплату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труда и начисления на выплаты по оплате труда, коммунальные услуги, налоги, пошлины и сборы, обслуживание муниципального долга;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л)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 представление до начала очередного финансового года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 принятого решения о бюджете на очередной финансовый год и плановый период с учетом рекомендаций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 направление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 на согласование проектов решений о внесении изменений в решение о бюджете на текущий финансовый год и плановый период в случае изменения объемов расходов на оплату труда и начисления 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 выплаты по оплате труда, коммунальные услуги, налоги, пошлины и сборы, обслуживание муниципального долга - за 20 календарных дней до внесения указанных проектов решений в представительный орган поселения;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 невнесение в представительный орган поселения проектов решений о внесении изменений в решение о бюджете на текущий финансовый год и плановый период в случае изменения объемов расходов на оплату труда и начисления на выплаты по оплате тру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да, коммунальные услуги, налоги, пошлины и сборы, обслуживание муниципального долга без согласования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2.1.3.3.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Осуществление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мер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повышению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качества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управления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муниципальными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: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а)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отсутствие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кредитов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планируемых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привлечению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из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Белоярского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района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предусмотренных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качестве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источника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финансирования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дефицита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решении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текущий финансовый год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сверх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сумм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кредитов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решение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предоставлении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которых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принято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администрацией Белоярского района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б)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отсутствие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состоянию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первое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число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каждого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месяца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просроченной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задолженности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долговым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обязательствам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в)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внесение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решение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текущий финансовый год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плановый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период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далее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решение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изменений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направленных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устранение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замечаний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содержащихся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заключении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Департамента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Ханты–Мансийского автономного округа - Югры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проект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решения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подготовленном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соответствии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подпунктом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пункта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4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статьи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136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кодекса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Российской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Федерации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срок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марта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текущего финансового года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16"/>
          <w:szCs w:val="16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2.1.4.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Принимать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меры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дисциплинарной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ответственности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случае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невыполнения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обязательств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предусмотренных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настоящим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Соглашением 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Планом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соответствии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законодательством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Российской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Федерации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:</w:t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к должностным лицам исполнительно-распорядительного органа поселения, в случае если их действия (бездействия) привели к нарушению обязательств, предусмотренных Соглашением, Планом;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к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соответствующим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муниципальным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служащим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органов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местного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самоуправления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случае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необеспечения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внесения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решение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бюджете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изменений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направленных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устранение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замечаний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содержащихся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заключении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Департамента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финансов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Ханты–Мансийского автономного округа - Югры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проект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решения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бюджете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подготовленном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соответствии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с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подпунктом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2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пункта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статьи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136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Бюджетного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кодекса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Российской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Федерации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срок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до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1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марта</w:t>
      </w:r>
      <w:r>
        <w:rPr>
          <w:rFonts w:ascii="TimesNewRoman" w:hAnsi="TimesNewRoman" w:eastAsia="TimesNewRoman" w:cs="TimesNewRoman"/>
          <w:color w:val="000000"/>
          <w:sz w:val="24"/>
          <w:szCs w:val="24"/>
          <w:highlight w:val="white"/>
          <w:lang w:val="ru-RU" w:bidi="ru-RU"/>
        </w:rPr>
        <w:t xml:space="preserve"> текущего финансового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sz w:val="16"/>
          <w:szCs w:val="16"/>
          <w:highlight w:val="white"/>
        </w:rPr>
      </w:r>
      <w:r>
        <w:rPr>
          <w:rFonts w:ascii="Times New Roman" w:hAnsi="Times New Roman" w:eastAsia="Times New Roman" w:cs="Times New Roman"/>
          <w:sz w:val="16"/>
          <w:szCs w:val="16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16"/>
          <w:szCs w:val="16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2.1.5.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Представлять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:</w:t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а) утвержденный 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План, указанный в подпункте 2.1.1 пункта 2.1 настоящего соглашения, в срок до 1 апреля текущего финансового года;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NewRoman" w:hAnsi="TimesNewRoman" w:eastAsia="TimesNewRoman" w:cs="TimesNewRoman"/>
          <w:sz w:val="16"/>
          <w:szCs w:val="16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б)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отчет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выполнении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мер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предусмотренных пунктом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:</w:t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NewRoman" w:hAnsi="TimesNewRoman" w:eastAsia="TimesNewRoman" w:cs="TimesNew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ежеквартально до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15-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числа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месяца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следующего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отчетным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кварталом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начиная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отчета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июля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текущего финансового года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полугодие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9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месяцев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);</w:t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годовой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отчет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исполнении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обязательств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предусмотренных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представляется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позднее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марта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20__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года.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Отчет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исполнении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обязательств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предусмотренных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пунктом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предоставляется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установленной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Комитетом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форме.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16"/>
          <w:szCs w:val="16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в)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информацию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документы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запросу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связанные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исполнением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осуществлением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контроля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исполнением.</w:t>
      </w:r>
      <w:r>
        <w:rPr>
          <w:rFonts w:ascii="Times New Roman" w:hAnsi="Times New Roman" w:eastAsia="Times New Roman" w:cs="Times New Roman"/>
          <w:sz w:val="16"/>
          <w:szCs w:val="16"/>
          <w:highlight w:val="white"/>
        </w:rPr>
      </w:r>
      <w:r>
        <w:rPr>
          <w:rFonts w:ascii="Times New Roman" w:hAnsi="Times New Roman" w:eastAsia="Times New Roman" w:cs="Times New Roman"/>
          <w:sz w:val="16"/>
          <w:szCs w:val="16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16"/>
          <w:szCs w:val="16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2.2.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Получатель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вправе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обращаться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разъяснениями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исполнению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Соглашения.</w:t>
      </w:r>
      <w:r>
        <w:rPr>
          <w:rFonts w:ascii="Times New Roman" w:hAnsi="Times New Roman" w:eastAsia="Times New Roman" w:cs="Times New Roman"/>
          <w:sz w:val="16"/>
          <w:szCs w:val="16"/>
          <w:highlight w:val="white"/>
        </w:rPr>
      </w:r>
      <w:r>
        <w:rPr>
          <w:rFonts w:ascii="Times New Roman" w:hAnsi="Times New Roman" w:eastAsia="Times New Roman" w:cs="Times New Roman"/>
          <w:sz w:val="16"/>
          <w:szCs w:val="16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NewRoman" w:hAnsi="TimesNewRoman" w:eastAsia="TimesNewRoman" w:cs="TimesNewRoman"/>
          <w:sz w:val="16"/>
          <w:szCs w:val="16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2.3.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обязан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:</w:t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NewRoman" w:hAnsi="TimesNewRoman" w:eastAsia="TimesNewRoman" w:cs="TimesNew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осуществлять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контроль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исполнением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оказывать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консультативную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помощь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исполнению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2.4.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вправе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запрашивать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highlight w:val="white"/>
          <w:lang w:val="ru-RU" w:bidi="ru-RU"/>
        </w:rPr>
        <w:t xml:space="preserve">получать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Получателя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информацию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документы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связанные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исполнением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осуществлением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контроля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исполнением.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3621" w:right="0" w:hanging="36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Ответственность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3.1. 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отношении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Получателя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применяются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меры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ответственности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установленные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пунктом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Порядка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заключения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между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Комитетом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финансам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главой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руководителем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исполнительно-распорядительного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органа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которое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предусматривает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меры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социально-экономическому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развитию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оздоровлению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муниципальных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финансов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 текущем финансовом году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утвержденного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Постановлением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24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декабря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2021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№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585-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 (далее – Порядок) 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случае: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-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нарушения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Получателем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положений Порядка;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- нарушения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сроков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заключения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Соглашения;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850" w:leader="none"/>
        </w:tabs>
        <w:rPr>
          <w:rFonts w:ascii="Times New Roman" w:hAnsi="Times New Roman" w:eastAsia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невыполнения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итогам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текущего финансового года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обязательств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предусмотренных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настоящим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Соглашением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NewRoman" w:hAnsi="TimesNewRoman" w:eastAsia="TimesNewRoman" w:cs="TimesNewRoman"/>
          <w:sz w:val="22"/>
          <w:szCs w:val="22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3.2.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ab/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Получатель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освобождается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ответственности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неисполнение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или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ненадлежащее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обязательств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предусмотренных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настоящим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Соглашением,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случае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прекращения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полномочий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главы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руководителя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исполнительно-распорядительного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органа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подписавшего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избрания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назначения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отчетном финансовом году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другого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лица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главой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руководителем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исполнительно-распорядительного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органа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 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временно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исполняющим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обязанности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главы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руководителя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исполнительно-распорядительного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органа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поселения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)).</w:t>
      </w:r>
      <w:r>
        <w:rPr>
          <w:rFonts w:ascii="TimesNewRoman" w:hAnsi="TimesNewRoman" w:eastAsia="TimesNewRoman" w:cs="TimesNewRoman"/>
          <w:sz w:val="22"/>
          <w:szCs w:val="22"/>
          <w:highlight w:val="white"/>
        </w:rPr>
      </w:r>
      <w:r>
        <w:rPr>
          <w:rFonts w:ascii="TimesNewRoman" w:hAnsi="TimesNewRoman" w:eastAsia="TimesNewRoman" w:cs="TimesNewRoman"/>
          <w:sz w:val="22"/>
          <w:szCs w:val="22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Внесение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изменений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дополнений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взаимному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Сторон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также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случае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изменения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бюджетного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законодательства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Российской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Федерации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законодательства Российской Федерации и Ханты-Мансийского автономного округа - Югры о налогах и сборах,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настоящее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могут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быть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внесены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изменения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дополнения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путем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заключения в письменной форме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дополнительного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являющегося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неотъемлемой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частью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Соглашения.</w:t>
      </w:r>
      <w:r>
        <w:rPr>
          <w:rFonts w:ascii="Times New Roman" w:hAnsi="Times New Roman" w:eastAsia="Times New Roman" w:cs="Times New Roman"/>
          <w:sz w:val="16"/>
          <w:szCs w:val="16"/>
          <w:highlight w:val="white"/>
        </w:rPr>
      </w:r>
      <w:r>
        <w:rPr>
          <w:rFonts w:ascii="Times New Roman" w:hAnsi="Times New Roman" w:eastAsia="Times New Roman" w:cs="Times New Roman"/>
          <w:sz w:val="16"/>
          <w:szCs w:val="16"/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3621" w:right="0" w:hanging="36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Срок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действия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Настоящее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вступает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силу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дня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подписания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Сторонами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распространяется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правоотношения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Сторон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возникшие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января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20__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действует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31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декабря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20__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года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включительно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исключением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положений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установленных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подпунктом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2.1.5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пункта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2.1,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пунктами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3.1, 3.2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действующих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полного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Сторонами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своих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обязательств.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3621" w:right="0" w:hanging="36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Разрешение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споров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Неурегулированные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Сторонами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споры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разногласия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возникшие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исполнении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настоящего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или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связи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ним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рассматриваются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порядке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предусмотренном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законодательством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Российской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Федерации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. 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3621" w:right="0" w:hanging="36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Другие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Настоящее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Соглашение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составлено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____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листах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двух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экземплярах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имеющих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равную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юридическую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силу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одному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для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каждой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из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Сторон.</w:t>
      </w:r>
      <w:r>
        <w:rPr>
          <w:rFonts w:ascii="Times New Roman" w:hAnsi="Times New Roman" w:eastAsia="Times New Roman" w:cs="Times New Roman"/>
          <w:sz w:val="16"/>
          <w:szCs w:val="16"/>
          <w:highlight w:val="white"/>
        </w:rPr>
      </w:r>
      <w:r>
        <w:rPr>
          <w:rFonts w:ascii="Times New Roman" w:hAnsi="Times New Roman" w:eastAsia="Times New Roman" w:cs="Times New Roman"/>
          <w:sz w:val="16"/>
          <w:szCs w:val="16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Подписи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юридические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адреса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3621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tbl>
      <w:tblPr>
        <w:tblStyle w:val="968"/>
        <w:tblW w:w="0" w:type="auto"/>
        <w:tblInd w:w="-10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92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Комитет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по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финансам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:</w:t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tabs>
                <w:tab w:val="center" w:pos="4748" w:leader="none"/>
              </w:tabs>
              <w:rPr>
                <w:rFonts w:ascii="TimesNewRoman" w:hAnsi="TimesNewRoman" w:eastAsia="TimesNewRoman" w:cs="TimesNewRoman"/>
                <w:sz w:val="22"/>
                <w:szCs w:val="22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22"/>
                <w:szCs w:val="22"/>
                <w:highlight w:val="white"/>
                <w:lang w:val="ru-RU" w:bidi="ru-RU"/>
              </w:rPr>
            </w:r>
            <w:r>
              <w:rPr>
                <w:rFonts w:ascii="TimesNewRoman" w:hAnsi="TimesNewRoman" w:eastAsia="TimesNewRoman" w:cs="TimesNewRoman"/>
                <w:sz w:val="22"/>
                <w:szCs w:val="22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tabs>
                <w:tab w:val="center" w:pos="4748" w:leader="none"/>
              </w:tabs>
              <w:rPr>
                <w:rFonts w:ascii="TimesNewRoman" w:hAnsi="TimesNewRoman" w:eastAsia="TimesNewRoman" w:cs="TimesNewRoman"/>
                <w:sz w:val="22"/>
                <w:szCs w:val="22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628162,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Ханты-Мансийский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ab/>
            </w:r>
            <w:r>
              <w:rPr>
                <w:rFonts w:ascii="TimesNewRoman" w:hAnsi="TimesNewRoman" w:eastAsia="TimesNewRoman" w:cs="TimesNewRoman"/>
                <w:sz w:val="22"/>
                <w:szCs w:val="22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автономный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округ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–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Югра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, </w:t>
            </w:r>
            <w:r>
              <w:rPr>
                <w:rFonts w:ascii="TimesNewRoman" w:hAnsi="TimesNewRoman" w:eastAsia="TimesNewRoman" w:cs="TimesNewRoman"/>
                <w:sz w:val="22"/>
                <w:szCs w:val="22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Тюменская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область,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г.Белоярский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ул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Центральная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, 9.</w:t>
            </w:r>
            <w:r>
              <w:rPr>
                <w:rFonts w:ascii="TimesNewRoman" w:hAnsi="TimesNewRoman" w:eastAsia="TimesNewRoman" w:cs="TimesNewRoman"/>
                <w:sz w:val="22"/>
                <w:szCs w:val="22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  <w:szCs w:val="22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22"/>
                <w:szCs w:val="22"/>
                <w:highlight w:val="white"/>
                <w:lang w:val="ru-RU" w:bidi="ru-RU"/>
              </w:rPr>
            </w:r>
            <w:r>
              <w:rPr>
                <w:rFonts w:ascii="TimesNewRoman" w:hAnsi="TimesNewRoman" w:eastAsia="TimesNewRoman" w:cs="TimesNewRoman"/>
                <w:sz w:val="22"/>
                <w:szCs w:val="22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  <w:lang w:val="ru-RU" w:bidi="ru-RU"/>
              </w:rPr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Муниципальное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образование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:</w:t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  <w:lang w:val="ru-RU" w:bidi="ru-RU"/>
              </w:rPr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__________________________</w:t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  <w:lang w:val="ru-RU" w:bidi="ru-RU"/>
              </w:rPr>
              <w:t xml:space="preserve">                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 w:bidi="ru-RU"/>
              </w:rPr>
              <w:t xml:space="preserve">наименование</w:t>
            </w: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  <w:lang w:val="ru-RU" w:bidi="ru-RU"/>
              </w:rPr>
              <w:t xml:space="preserve">)</w:t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___________,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Ханты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–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Мансийский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автономный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округ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–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Югра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Тюменская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область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Белоярский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район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, _________________________________, </w:t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ул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. _____________________,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д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. ______</w:t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  <w:lang w:val="ru-RU" w:bidi="ru-RU"/>
              </w:rPr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Заместитель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главы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Белоярского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района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председатель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Комитета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по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финансам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и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налоговой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политике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администрации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Белоярского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района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___________________________ </w:t>
            </w: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подпись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расшифровка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подписи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) </w:t>
            </w: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  <w:lang w:val="ru-RU" w:bidi="ru-RU"/>
              </w:rPr>
            </w: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Глава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руководитель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исполнительно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–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распорядительного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органа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) 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поселения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________</w:t>
            </w: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  <w:lang w:val="ru-RU" w:bidi="ru-RU"/>
              </w:rPr>
            </w: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_______________________________</w:t>
            </w: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подпись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расшифровка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подписи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  <w:lang w:val="ru-RU" w:bidi="ru-RU"/>
              </w:rPr>
              <w:t xml:space="preserve">) </w:t>
            </w: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0"/>
                <w:szCs w:val="20"/>
                <w:highlight w:val="white"/>
              </w:rPr>
            </w:r>
          </w:p>
        </w:tc>
      </w:tr>
    </w:tbl>
    <w:p>
      <w:pPr>
        <w:ind w:left="0" w:right="0" w:firstLine="0"/>
        <w:jc w:val="both"/>
        <w:spacing w:before="0" w:after="0" w:line="240" w:lineRule="auto"/>
        <w:rPr>
          <w:rFonts w:ascii="TimesNewRoman" w:hAnsi="TimesNewRoman" w:eastAsia="TimesNewRoman" w:cs="TimesNewRoman"/>
          <w:sz w:val="16"/>
          <w:szCs w:val="16"/>
          <w:highlight w:val="white"/>
        </w:rPr>
      </w:pPr>
      <w:r>
        <w:rPr>
          <w:rFonts w:ascii="TimesNewRoman" w:hAnsi="TimesNewRoman" w:eastAsia="TimesNewRoman" w:cs="TimesNewRoman"/>
          <w:sz w:val="16"/>
          <w:szCs w:val="16"/>
          <w:highlight w:val="white"/>
          <w:lang w:val="ru-RU" w:bidi="ru-RU"/>
        </w:rPr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  <w:r>
        <w:rPr>
          <w:rFonts w:ascii="TimesNewRoman" w:hAnsi="TimesNewRoman" w:eastAsia="TimesNewRoman" w:cs="TimesNewRoman"/>
          <w:sz w:val="16"/>
          <w:szCs w:val="16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2"/>
          <w:szCs w:val="22"/>
          <w:highlight w:val="white"/>
        </w:rPr>
      </w:pPr>
      <w:r>
        <w:rPr>
          <w:rFonts w:ascii="TimesNewRoman" w:hAnsi="TimesNewRoman" w:eastAsia="TimesNewRoman" w:cs="TimesNewRoman"/>
          <w:sz w:val="22"/>
          <w:szCs w:val="22"/>
          <w:highlight w:val="white"/>
          <w:lang w:val="ru-RU" w:bidi="ru-RU"/>
        </w:rPr>
      </w:r>
      <w:r>
        <w:rPr>
          <w:rFonts w:ascii="TimesNewRoman" w:hAnsi="TimesNewRoman" w:eastAsia="TimesNewRoman" w:cs="TimesNewRoman"/>
          <w:sz w:val="22"/>
          <w:szCs w:val="22"/>
          <w:highlight w:val="white"/>
        </w:rPr>
      </w:r>
      <w:r>
        <w:rPr>
          <w:rFonts w:ascii="TimesNewRoman" w:hAnsi="TimesNewRoman" w:eastAsia="TimesNewRoman" w:cs="TimesNewRoman"/>
          <w:sz w:val="22"/>
          <w:szCs w:val="22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  <w:t xml:space="preserve">___________________</w:t>
      </w: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imesNew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trike w:val="0"/>
          <w:sz w:val="20"/>
          <w:szCs w:val="20"/>
          <w:vertAlign w:val="superscript"/>
          <w:lang w:val="ru-RU" w:bidi="ru-RU"/>
        </w:rPr>
        <w:footnoteRef/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В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 случае отсутствия в структуре исполнительно-распорядительного органа структурных подразделений и (или) отсутствия должностей муниципальной службы соответствующего уровня, ответственным исполнителем за каждое мероприятие Плана назначается глава (руководите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ль исполнительно-распорядительного органа) поселения, либо его заместитель (при наличии)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3">
    <w:p>
      <w:pPr>
        <w:pStyle w:val="95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trike w:val="0"/>
          <w:sz w:val="20"/>
          <w:szCs w:val="20"/>
          <w:vertAlign w:val="superscript"/>
          <w:lang w:val="ru-RU" w:bidi="ru-RU"/>
        </w:rPr>
        <w:footnoteRef/>
      </w:r>
      <w:r>
        <w:rPr>
          <w:rFonts w:ascii="Calibri" w:hAnsi="Calibri" w:eastAsia="Calibri" w:cs="Calibri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Предусматривается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отношении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 муниципальных образований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у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которых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доля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дотаций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из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других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бюджетов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бюджетной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системы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Российской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Федерации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течение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двух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из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трех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последних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отчетных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финансовых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лет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не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превышала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20 (50)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процентов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доходов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местного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бюджета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за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исключением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субвенций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иных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межбюджетных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трансфертов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предоставляемых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на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осуществление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части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полномочий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по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решению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вопросов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местного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значения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соответствии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с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соглашениями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заключенными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муниципальным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районом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strike w:val="0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lang w:val="ru-RU" w:bidi="ru-RU"/>
        </w:rPr>
        <w:t xml:space="preserve">поселением.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0"/>
      <w:numFmt w:val="none"/>
      <w:isLgl w:val="false"/>
      <w:suff w:val="tab"/>
      <w:lvlText w:val="o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2">
      <w:start w:val="0"/>
      <w:numFmt w:val="none"/>
      <w:isLgl w:val="false"/>
      <w:suff w:val="tab"/>
      <w:lvlText w:val="§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3">
      <w:start w:val="0"/>
      <w:numFmt w:val="none"/>
      <w:isLgl w:val="false"/>
      <w:suff w:val="tab"/>
      <w:lvlText w:val="·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4">
      <w:start w:val="0"/>
      <w:numFmt w:val="none"/>
      <w:isLgl w:val="false"/>
      <w:suff w:val="tab"/>
      <w:lvlText w:val="o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5">
      <w:start w:val="0"/>
      <w:numFmt w:val="none"/>
      <w:isLgl w:val="false"/>
      <w:suff w:val="tab"/>
      <w:lvlText w:val="§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6">
      <w:start w:val="0"/>
      <w:numFmt w:val="none"/>
      <w:isLgl w:val="false"/>
      <w:suff w:val="tab"/>
      <w:lvlText w:val="·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7">
      <w:start w:val="0"/>
      <w:numFmt w:val="none"/>
      <w:isLgl w:val="false"/>
      <w:suff w:val="tab"/>
      <w:lvlText w:val="o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8">
      <w:start w:val="0"/>
      <w:numFmt w:val="none"/>
      <w:isLgl w:val="false"/>
      <w:suff w:val="tab"/>
      <w:lvlText w:val="§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1">
    <w:name w:val="Heading 1"/>
    <w:basedOn w:val="967"/>
    <w:next w:val="967"/>
    <w:link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2">
    <w:name w:val="Heading 1 Char"/>
    <w:link w:val="791"/>
    <w:uiPriority w:val="9"/>
    <w:rPr>
      <w:rFonts w:ascii="Arial" w:hAnsi="Arial" w:eastAsia="Arial" w:cs="Arial"/>
      <w:sz w:val="40"/>
      <w:szCs w:val="40"/>
    </w:rPr>
  </w:style>
  <w:style w:type="paragraph" w:styleId="793">
    <w:name w:val="Heading 2"/>
    <w:basedOn w:val="967"/>
    <w:next w:val="967"/>
    <w:link w:val="7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4">
    <w:name w:val="Heading 2 Char"/>
    <w:link w:val="793"/>
    <w:uiPriority w:val="9"/>
    <w:rPr>
      <w:rFonts w:ascii="Arial" w:hAnsi="Arial" w:eastAsia="Arial" w:cs="Arial"/>
      <w:sz w:val="34"/>
    </w:rPr>
  </w:style>
  <w:style w:type="paragraph" w:styleId="795">
    <w:name w:val="Heading 3"/>
    <w:basedOn w:val="967"/>
    <w:next w:val="967"/>
    <w:link w:val="7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6">
    <w:name w:val="Heading 3 Char"/>
    <w:link w:val="795"/>
    <w:uiPriority w:val="9"/>
    <w:rPr>
      <w:rFonts w:ascii="Arial" w:hAnsi="Arial" w:eastAsia="Arial" w:cs="Arial"/>
      <w:sz w:val="30"/>
      <w:szCs w:val="30"/>
    </w:rPr>
  </w:style>
  <w:style w:type="paragraph" w:styleId="797">
    <w:name w:val="Heading 4"/>
    <w:basedOn w:val="967"/>
    <w:next w:val="967"/>
    <w:link w:val="7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8">
    <w:name w:val="Heading 4 Char"/>
    <w:link w:val="797"/>
    <w:uiPriority w:val="9"/>
    <w:rPr>
      <w:rFonts w:ascii="Arial" w:hAnsi="Arial" w:eastAsia="Arial" w:cs="Arial"/>
      <w:b/>
      <w:bCs/>
      <w:sz w:val="26"/>
      <w:szCs w:val="26"/>
    </w:rPr>
  </w:style>
  <w:style w:type="paragraph" w:styleId="799">
    <w:name w:val="Heading 5"/>
    <w:basedOn w:val="967"/>
    <w:next w:val="967"/>
    <w:link w:val="8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0">
    <w:name w:val="Heading 5 Char"/>
    <w:link w:val="799"/>
    <w:uiPriority w:val="9"/>
    <w:rPr>
      <w:rFonts w:ascii="Arial" w:hAnsi="Arial" w:eastAsia="Arial" w:cs="Arial"/>
      <w:b/>
      <w:bCs/>
      <w:sz w:val="24"/>
      <w:szCs w:val="24"/>
    </w:rPr>
  </w:style>
  <w:style w:type="paragraph" w:styleId="801">
    <w:name w:val="Heading 6"/>
    <w:basedOn w:val="967"/>
    <w:next w:val="967"/>
    <w:link w:val="8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2">
    <w:name w:val="Heading 6 Char"/>
    <w:link w:val="801"/>
    <w:uiPriority w:val="9"/>
    <w:rPr>
      <w:rFonts w:ascii="Arial" w:hAnsi="Arial" w:eastAsia="Arial" w:cs="Arial"/>
      <w:b/>
      <w:bCs/>
      <w:sz w:val="22"/>
      <w:szCs w:val="22"/>
    </w:rPr>
  </w:style>
  <w:style w:type="paragraph" w:styleId="803">
    <w:name w:val="Heading 7"/>
    <w:basedOn w:val="967"/>
    <w:next w:val="967"/>
    <w:link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4">
    <w:name w:val="Heading 7 Char"/>
    <w:link w:val="8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5">
    <w:name w:val="Heading 8"/>
    <w:basedOn w:val="967"/>
    <w:next w:val="967"/>
    <w:link w:val="8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6">
    <w:name w:val="Heading 8 Char"/>
    <w:link w:val="805"/>
    <w:uiPriority w:val="9"/>
    <w:rPr>
      <w:rFonts w:ascii="Arial" w:hAnsi="Arial" w:eastAsia="Arial" w:cs="Arial"/>
      <w:i/>
      <w:iCs/>
      <w:sz w:val="22"/>
      <w:szCs w:val="22"/>
    </w:rPr>
  </w:style>
  <w:style w:type="paragraph" w:styleId="807">
    <w:name w:val="Heading 9"/>
    <w:basedOn w:val="967"/>
    <w:next w:val="967"/>
    <w:link w:val="8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8">
    <w:name w:val="Heading 9 Char"/>
    <w:link w:val="807"/>
    <w:uiPriority w:val="9"/>
    <w:rPr>
      <w:rFonts w:ascii="Arial" w:hAnsi="Arial" w:eastAsia="Arial" w:cs="Arial"/>
      <w:i/>
      <w:iCs/>
      <w:sz w:val="21"/>
      <w:szCs w:val="21"/>
    </w:rPr>
  </w:style>
  <w:style w:type="paragraph" w:styleId="809">
    <w:name w:val="Title"/>
    <w:basedOn w:val="967"/>
    <w:next w:val="967"/>
    <w:link w:val="8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0">
    <w:name w:val="Title Char"/>
    <w:link w:val="809"/>
    <w:uiPriority w:val="10"/>
    <w:rPr>
      <w:sz w:val="48"/>
      <w:szCs w:val="48"/>
    </w:rPr>
  </w:style>
  <w:style w:type="paragraph" w:styleId="811">
    <w:name w:val="Subtitle"/>
    <w:basedOn w:val="967"/>
    <w:next w:val="967"/>
    <w:link w:val="812"/>
    <w:uiPriority w:val="11"/>
    <w:qFormat/>
    <w:pPr>
      <w:spacing w:before="200" w:after="200"/>
    </w:pPr>
    <w:rPr>
      <w:sz w:val="24"/>
      <w:szCs w:val="24"/>
    </w:rPr>
  </w:style>
  <w:style w:type="character" w:styleId="812">
    <w:name w:val="Subtitle Char"/>
    <w:link w:val="811"/>
    <w:uiPriority w:val="11"/>
    <w:rPr>
      <w:sz w:val="24"/>
      <w:szCs w:val="24"/>
    </w:rPr>
  </w:style>
  <w:style w:type="paragraph" w:styleId="813">
    <w:name w:val="Quote"/>
    <w:basedOn w:val="967"/>
    <w:next w:val="967"/>
    <w:link w:val="814"/>
    <w:uiPriority w:val="29"/>
    <w:qFormat/>
    <w:pPr>
      <w:ind w:left="720" w:right="720"/>
    </w:pPr>
    <w:rPr>
      <w:i/>
    </w:rPr>
  </w:style>
  <w:style w:type="character" w:styleId="814">
    <w:name w:val="Quote Char"/>
    <w:link w:val="813"/>
    <w:uiPriority w:val="29"/>
    <w:rPr>
      <w:i/>
    </w:rPr>
  </w:style>
  <w:style w:type="paragraph" w:styleId="815">
    <w:name w:val="Intense Quote"/>
    <w:basedOn w:val="967"/>
    <w:next w:val="967"/>
    <w:link w:val="8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6">
    <w:name w:val="Intense Quote Char"/>
    <w:link w:val="815"/>
    <w:uiPriority w:val="30"/>
    <w:rPr>
      <w:i/>
    </w:rPr>
  </w:style>
  <w:style w:type="paragraph" w:styleId="817">
    <w:name w:val="Header"/>
    <w:basedOn w:val="967"/>
    <w:link w:val="8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8">
    <w:name w:val="Header Char"/>
    <w:link w:val="817"/>
    <w:uiPriority w:val="99"/>
  </w:style>
  <w:style w:type="paragraph" w:styleId="819">
    <w:name w:val="Footer"/>
    <w:basedOn w:val="967"/>
    <w:link w:val="8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0">
    <w:name w:val="Footer Char"/>
    <w:link w:val="819"/>
    <w:uiPriority w:val="99"/>
  </w:style>
  <w:style w:type="paragraph" w:styleId="821">
    <w:name w:val="Caption"/>
    <w:basedOn w:val="967"/>
    <w:next w:val="967"/>
    <w:link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2">
    <w:name w:val="Caption Char"/>
    <w:link w:val="821"/>
    <w:uiPriority w:val="35"/>
    <w:rPr>
      <w:b/>
      <w:bCs/>
      <w:color w:val="4f81bd" w:themeColor="accent1"/>
      <w:sz w:val="18"/>
      <w:szCs w:val="18"/>
    </w:rPr>
  </w:style>
  <w:style w:type="table" w:styleId="823">
    <w:name w:val="Table Grid"/>
    <w:basedOn w:val="9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Table Grid Light"/>
    <w:basedOn w:val="9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>
    <w:name w:val="Plain Table 1"/>
    <w:basedOn w:val="9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2"/>
    <w:basedOn w:val="9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8">
    <w:name w:val="Plain Table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Plain Table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0">
    <w:name w:val="Grid Table 1 Light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4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2">
    <w:name w:val="Grid Table 4 - Accent 1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3">
    <w:name w:val="Grid Table 4 - Accent 2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Grid Table 4 - Accent 3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5">
    <w:name w:val="Grid Table 4 - Accent 4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Grid Table 4 - Accent 5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7">
    <w:name w:val="Grid Table 4 - Accent 6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8">
    <w:name w:val="Grid Table 5 Dark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9">
    <w:name w:val="Grid Table 5 Dark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2">
    <w:name w:val="Grid Table 5 Dark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64">
    <w:name w:val="Grid Table 5 Dark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65">
    <w:name w:val="Grid Table 6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6">
    <w:name w:val="Grid Table 6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7">
    <w:name w:val="Grid Table 6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8">
    <w:name w:val="Grid Table 6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9">
    <w:name w:val="Grid Table 6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0">
    <w:name w:val="Grid Table 6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1">
    <w:name w:val="Grid Table 6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2">
    <w:name w:val="Grid Table 7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7">
    <w:name w:val="List Table 2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8">
    <w:name w:val="List Table 2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9">
    <w:name w:val="List Table 2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0">
    <w:name w:val="List Table 2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1">
    <w:name w:val="List Table 2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2">
    <w:name w:val="List Table 2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3">
    <w:name w:val="List Table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5 Dark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6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5">
    <w:name w:val="List Table 6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6">
    <w:name w:val="List Table 6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7">
    <w:name w:val="List Table 6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8">
    <w:name w:val="List Table 6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9">
    <w:name w:val="List Table 6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0">
    <w:name w:val="List Table 6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1">
    <w:name w:val="List Table 7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2">
    <w:name w:val="List Table 7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23">
    <w:name w:val="List Table 7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24">
    <w:name w:val="List Table 7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25">
    <w:name w:val="List Table 7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26">
    <w:name w:val="List Table 7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27">
    <w:name w:val="List Table 7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28">
    <w:name w:val="Lined - Accent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9">
    <w:name w:val="Lined - Accent 1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0">
    <w:name w:val="Lined - Accent 2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1">
    <w:name w:val="Lined - Accent 3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2">
    <w:name w:val="Lined - Accent 4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3">
    <w:name w:val="Lined - Accent 5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4">
    <w:name w:val="Lined - Accent 6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5">
    <w:name w:val="Bordered &amp; Lined - Accent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6">
    <w:name w:val="Bordered &amp; Lined - Accent 1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7">
    <w:name w:val="Bordered &amp; Lined - Accent 2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8">
    <w:name w:val="Bordered &amp; Lined - Accent 3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9">
    <w:name w:val="Bordered &amp; Lined - Accent 4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0">
    <w:name w:val="Bordered &amp; Lined - Accent 5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1">
    <w:name w:val="Bordered &amp; Lined - Accent 6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2">
    <w:name w:val="Bordered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3">
    <w:name w:val="Bordered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4">
    <w:name w:val="Bordered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5">
    <w:name w:val="Bordered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6">
    <w:name w:val="Bordered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7">
    <w:name w:val="Bordered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8">
    <w:name w:val="Bordered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9">
    <w:name w:val="Hyperlink"/>
    <w:uiPriority w:val="99"/>
    <w:unhideWhenUsed/>
    <w:rPr>
      <w:color w:val="0000ff" w:themeColor="hyperlink"/>
      <w:u w:val="single"/>
    </w:rPr>
  </w:style>
  <w:style w:type="paragraph" w:styleId="950">
    <w:name w:val="footnote text"/>
    <w:basedOn w:val="967"/>
    <w:link w:val="951"/>
    <w:uiPriority w:val="99"/>
    <w:semiHidden/>
    <w:unhideWhenUsed/>
    <w:pPr>
      <w:spacing w:after="40" w:line="240" w:lineRule="auto"/>
    </w:pPr>
    <w:rPr>
      <w:sz w:val="18"/>
    </w:rPr>
  </w:style>
  <w:style w:type="character" w:styleId="951">
    <w:name w:val="Footnote Text Char"/>
    <w:link w:val="950"/>
    <w:uiPriority w:val="99"/>
    <w:rPr>
      <w:sz w:val="18"/>
    </w:rPr>
  </w:style>
  <w:style w:type="character" w:styleId="952">
    <w:name w:val="footnote reference"/>
    <w:uiPriority w:val="99"/>
    <w:unhideWhenUsed/>
    <w:rPr>
      <w:vertAlign w:val="superscript"/>
    </w:rPr>
  </w:style>
  <w:style w:type="paragraph" w:styleId="953">
    <w:name w:val="endnote text"/>
    <w:basedOn w:val="967"/>
    <w:link w:val="954"/>
    <w:uiPriority w:val="99"/>
    <w:semiHidden/>
    <w:unhideWhenUsed/>
    <w:pPr>
      <w:spacing w:after="0" w:line="240" w:lineRule="auto"/>
    </w:pPr>
    <w:rPr>
      <w:sz w:val="20"/>
    </w:rPr>
  </w:style>
  <w:style w:type="character" w:styleId="954">
    <w:name w:val="Endnote Text Char"/>
    <w:link w:val="953"/>
    <w:uiPriority w:val="99"/>
    <w:rPr>
      <w:sz w:val="20"/>
    </w:rPr>
  </w:style>
  <w:style w:type="character" w:styleId="955">
    <w:name w:val="endnote reference"/>
    <w:uiPriority w:val="99"/>
    <w:semiHidden/>
    <w:unhideWhenUsed/>
    <w:rPr>
      <w:vertAlign w:val="superscript"/>
    </w:rPr>
  </w:style>
  <w:style w:type="paragraph" w:styleId="956">
    <w:name w:val="toc 1"/>
    <w:basedOn w:val="967"/>
    <w:next w:val="967"/>
    <w:uiPriority w:val="39"/>
    <w:unhideWhenUsed/>
    <w:pPr>
      <w:ind w:left="0" w:right="0" w:firstLine="0"/>
      <w:spacing w:after="57"/>
    </w:pPr>
  </w:style>
  <w:style w:type="paragraph" w:styleId="957">
    <w:name w:val="toc 2"/>
    <w:basedOn w:val="967"/>
    <w:next w:val="967"/>
    <w:uiPriority w:val="39"/>
    <w:unhideWhenUsed/>
    <w:pPr>
      <w:ind w:left="283" w:right="0" w:firstLine="0"/>
      <w:spacing w:after="57"/>
    </w:pPr>
  </w:style>
  <w:style w:type="paragraph" w:styleId="958">
    <w:name w:val="toc 3"/>
    <w:basedOn w:val="967"/>
    <w:next w:val="967"/>
    <w:uiPriority w:val="39"/>
    <w:unhideWhenUsed/>
    <w:pPr>
      <w:ind w:left="567" w:right="0" w:firstLine="0"/>
      <w:spacing w:after="57"/>
    </w:pPr>
  </w:style>
  <w:style w:type="paragraph" w:styleId="959">
    <w:name w:val="toc 4"/>
    <w:basedOn w:val="967"/>
    <w:next w:val="967"/>
    <w:uiPriority w:val="39"/>
    <w:unhideWhenUsed/>
    <w:pPr>
      <w:ind w:left="850" w:right="0" w:firstLine="0"/>
      <w:spacing w:after="57"/>
    </w:pPr>
  </w:style>
  <w:style w:type="paragraph" w:styleId="960">
    <w:name w:val="toc 5"/>
    <w:basedOn w:val="967"/>
    <w:next w:val="967"/>
    <w:uiPriority w:val="39"/>
    <w:unhideWhenUsed/>
    <w:pPr>
      <w:ind w:left="1134" w:right="0" w:firstLine="0"/>
      <w:spacing w:after="57"/>
    </w:pPr>
  </w:style>
  <w:style w:type="paragraph" w:styleId="961">
    <w:name w:val="toc 6"/>
    <w:basedOn w:val="967"/>
    <w:next w:val="967"/>
    <w:uiPriority w:val="39"/>
    <w:unhideWhenUsed/>
    <w:pPr>
      <w:ind w:left="1417" w:right="0" w:firstLine="0"/>
      <w:spacing w:after="57"/>
    </w:pPr>
  </w:style>
  <w:style w:type="paragraph" w:styleId="962">
    <w:name w:val="toc 7"/>
    <w:basedOn w:val="967"/>
    <w:next w:val="967"/>
    <w:uiPriority w:val="39"/>
    <w:unhideWhenUsed/>
    <w:pPr>
      <w:ind w:left="1701" w:right="0" w:firstLine="0"/>
      <w:spacing w:after="57"/>
    </w:pPr>
  </w:style>
  <w:style w:type="paragraph" w:styleId="963">
    <w:name w:val="toc 8"/>
    <w:basedOn w:val="967"/>
    <w:next w:val="967"/>
    <w:uiPriority w:val="39"/>
    <w:unhideWhenUsed/>
    <w:pPr>
      <w:ind w:left="1984" w:right="0" w:firstLine="0"/>
      <w:spacing w:after="57"/>
    </w:pPr>
  </w:style>
  <w:style w:type="paragraph" w:styleId="964">
    <w:name w:val="toc 9"/>
    <w:basedOn w:val="967"/>
    <w:next w:val="967"/>
    <w:uiPriority w:val="39"/>
    <w:unhideWhenUsed/>
    <w:pPr>
      <w:ind w:left="2268" w:right="0" w:firstLine="0"/>
      <w:spacing w:after="57"/>
    </w:pPr>
  </w:style>
  <w:style w:type="paragraph" w:styleId="965">
    <w:name w:val="TOC Heading"/>
    <w:uiPriority w:val="39"/>
    <w:unhideWhenUsed/>
  </w:style>
  <w:style w:type="paragraph" w:styleId="966">
    <w:name w:val="table of figures"/>
    <w:basedOn w:val="967"/>
    <w:next w:val="967"/>
    <w:uiPriority w:val="99"/>
    <w:unhideWhenUsed/>
    <w:pPr>
      <w:spacing w:after="0" w:afterAutospacing="0"/>
    </w:pPr>
  </w:style>
  <w:style w:type="paragraph" w:styleId="967" w:default="1">
    <w:name w:val="Normal"/>
    <w:qFormat/>
  </w:style>
  <w:style w:type="table" w:styleId="9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9" w:default="1">
    <w:name w:val="No List"/>
    <w:uiPriority w:val="99"/>
    <w:semiHidden/>
    <w:unhideWhenUsed/>
  </w:style>
  <w:style w:type="paragraph" w:styleId="970">
    <w:name w:val="No Spacing"/>
    <w:basedOn w:val="967"/>
    <w:uiPriority w:val="1"/>
    <w:qFormat/>
    <w:pPr>
      <w:spacing w:after="0" w:line="240" w:lineRule="auto"/>
    </w:pPr>
  </w:style>
  <w:style w:type="paragraph" w:styleId="971">
    <w:name w:val="List Paragraph"/>
    <w:basedOn w:val="967"/>
    <w:uiPriority w:val="34"/>
    <w:qFormat/>
    <w:pPr>
      <w:contextualSpacing/>
      <w:ind w:left="720"/>
    </w:pPr>
  </w:style>
  <w:style w:type="character" w:styleId="972" w:default="1">
    <w:name w:val="Default Paragraph Font"/>
    <w:uiPriority w:val="1"/>
    <w:semiHidden/>
    <w:unhideWhenUsed/>
  </w:style>
  <w:style w:type="paragraph" w:styleId="973" w:customStyle="1">
    <w:name w:val="Оceceсf1f1нededоeeeeвe2e2нededоeeeeйe9e9 тf2f2еe5e5кeaeaсf1f1тf2f2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login.consultant.ru/link/?req=doc&amp;base=LAW&amp;n=466790&amp;dst=1498" TargetMode="External"/><Relationship Id="rId11" Type="http://schemas.openxmlformats.org/officeDocument/2006/relationships/hyperlink" Target="https://login.consultant.ru/link/?req=doc&amp;base=LAW&amp;n=466790&amp;dst=5197" TargetMode="External"/><Relationship Id="rId12" Type="http://schemas.openxmlformats.org/officeDocument/2006/relationships/hyperlink" Target="https://login.consultant.ru/link/?req=doc&amp;base=LAW&amp;n=466790&amp;dst=5192" TargetMode="External"/><Relationship Id="rId13" Type="http://schemas.openxmlformats.org/officeDocument/2006/relationships/hyperlink" Target="https://login.consultant.ru/link/?req=doc&amp;base=LAW&amp;n=466790&amp;dst=351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StarodubovaOS</cp:lastModifiedBy>
  <cp:revision>7</cp:revision>
  <dcterms:modified xsi:type="dcterms:W3CDTF">2026-03-02T05:56:29Z</dcterms:modified>
</cp:coreProperties>
</file>