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right"/>
      </w:pPr>
      <w:r/>
      <w:r/>
    </w:p>
    <w:p>
      <w:pPr>
        <w:pStyle w:val="90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4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4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</w:pPr>
      <w:r>
        <w:t xml:space="preserve">ПОСТАНОВЛЕНИЕ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04"/>
      </w:pPr>
      <w:r>
        <w:t xml:space="preserve">от __________ 20____ года</w:t>
        <w:tab/>
        <w:tab/>
        <w:tab/>
        <w:tab/>
        <w:tab/>
        <w:tab/>
        <w:tab/>
        <w:t xml:space="preserve">   № _________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13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марта 2024 года № 195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04"/>
        <w:rPr>
          <w:bCs/>
        </w:rPr>
      </w:pPr>
      <w:r>
        <w:t xml:space="preserve">П</w:t>
      </w:r>
      <w:r>
        <w:t xml:space="preserve"> о с т а н о в л я ю:</w:t>
      </w:r>
      <w:r>
        <w:rPr>
          <w:bCs/>
        </w:rPr>
      </w:r>
      <w:r>
        <w:rPr>
          <w:bCs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Белоярского района от 13 марта        2024 года № 195 «</w:t>
      </w:r>
      <w:r>
        <w:rPr>
          <w:rFonts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– Югры «Устойчивое развитие коренных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малочисленных народов Севера»</w:t>
      </w:r>
      <w:r>
        <w:rPr>
          <w:rFonts w:ascii="Times New Roman" w:hAnsi="Times New Roman" w:cs="Times New Roman"/>
          <w:sz w:val="24"/>
          <w:szCs w:val="24"/>
        </w:rPr>
        <w:t xml:space="preserve"> (далее – Постановление) следующие изменения: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приложении 1 «</w:t>
      </w:r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компенсации расходов на приобретение материально-технических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» к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1.1) абзацы шестой -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девятый пункта 2.4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копию паспорта, инструкции, руководства по эксплуатации либо иного документа, в которых указан серийный (идентификационный) номер технического средства на электростанцию, радиостанцию, спутниковый телефон, охотничье оружие, двигатель для снегохода, везде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ходной техники, мотопомпу напорную, солнечную электростанцию, бензопилу, пилораму;</w:t>
      </w:r>
      <w:r/>
    </w:p>
    <w:p>
      <w:pPr>
        <w:pStyle w:val="911"/>
        <w:ind w:firstLine="70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копию паспорта самоходной машины или выписки их электронного паспорта самоходной машины на снегоход, вездеходную технику, квадроцикл;</w:t>
      </w:r>
      <w:r/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копию свидетельства о государственной регистрации на снегоход, вездеходную технику, квадроцикл;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8) копию судового билета на лодку (шлюпку), лодочный мотор;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1.2)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абзац тринадцатый пункта 2.4 изложить в следующей редакции: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«1) копию договора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документов, подтверждающих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/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1.3) приложение 1</w:t>
      </w:r>
      <w:r>
        <w:rPr>
          <w:rFonts w:ascii="Times New Roman" w:hAnsi="Times New Roman" w:cs="Times New Roman"/>
          <w:sz w:val="24"/>
          <w:szCs w:val="24"/>
        </w:rPr>
        <w:t xml:space="preserve"> «Размеры компенсации коренным малочисленным народам на приобретение материально-технических средств»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 xml:space="preserve">в редакции согласно приложению 1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2 «З</w:t>
      </w:r>
      <w:r>
        <w:rPr>
          <w:rFonts w:ascii="Times New Roman" w:hAnsi="Times New Roman" w:cs="Times New Roman"/>
          <w:sz w:val="24"/>
          <w:szCs w:val="24"/>
        </w:rPr>
        <w:t xml:space="preserve">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компенсации расходов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материально-технических средств»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 xml:space="preserve">в редакции согласно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ложению 2 к настоящему постановлению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приложении 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предоставления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остановлению: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2.1) в </w:t>
      </w:r>
      <w:r>
        <w:rPr>
          <w:rFonts w:ascii="Times New Roman" w:hAnsi="Times New Roman" w:cs="Times New Roman"/>
          <w:sz w:val="24"/>
          <w:szCs w:val="24"/>
        </w:rPr>
        <w:t xml:space="preserve">приложении 1 «З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аявлении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предоставлении единовременной финансовой помощи молодым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специалистам из числа коренных малочисленных народов Севера,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работающим в местах традиционного проживания и традиционной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хозяйственной деятельности, на обустройство быта»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цифры «10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цифрами «300»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2.2) в пункте 2.1 </w:t>
      </w:r>
      <w:r>
        <w:rPr>
          <w:rFonts w:ascii="Times New Roman" w:hAnsi="Times New Roman" w:cs="Times New Roman"/>
          <w:sz w:val="24"/>
          <w:szCs w:val="24"/>
        </w:rPr>
        <w:t xml:space="preserve">приложения 2 «С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оглашение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предоставлении единовременной финансовой помощи молодым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специалистам из числа коренных малочисленных народов Севера,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работающим в местах традиционного проживания и традиционной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хозяйственной деятельности, на обустройство быта»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цифры «10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цифрами «300»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4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Настоящее постановление вступает в силу после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4. Подпункт 2 пункта 1 настоящего постановления распространяет свое действие на правоотношения, возникшие с 5 марта 2025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Ващука В.А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ind w:firstLine="0"/>
      </w:pPr>
      <w:r>
        <w:t xml:space="preserve">Глав</w:t>
      </w:r>
      <w:r>
        <w:t xml:space="preserve">а Белоярского ра</w:t>
      </w:r>
      <w:r>
        <w:t xml:space="preserve">йона</w:t>
        <w:tab/>
        <w:tab/>
        <w:tab/>
        <w:tab/>
        <w:tab/>
        <w:tab/>
        <w:tab/>
        <w:tab/>
        <w:t xml:space="preserve"> </w:t>
      </w:r>
      <w:r>
        <w:t xml:space="preserve">С.П.Маненков</w:t>
      </w:r>
      <w:r/>
    </w:p>
    <w:p>
      <w:pPr>
        <w:pStyle w:val="904"/>
        <w:ind w:firstLine="0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34"/>
        <w:ind w:left="11624"/>
        <w:jc w:val="both"/>
        <w:spacing w:after="0" w:line="240" w:lineRule="auto"/>
        <w:tabs>
          <w:tab w:val="left" w:pos="993" w:leader="none"/>
          <w:tab w:val="left" w:pos="5493" w:leader="none"/>
        </w:tabs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постановлению администрации Белоярского района </w:t>
      </w:r>
      <w:r>
        <w:rPr>
          <w:rFonts w:ascii="Times New Roman" w:hAnsi="Times New Roman"/>
          <w:sz w:val="24"/>
        </w:rPr>
        <w:t xml:space="preserve">от </w:t>
      </w:r>
      <w:r>
        <w:t xml:space="preserve">____</w:t>
      </w:r>
      <w:r>
        <w:rPr>
          <w:rFonts w:ascii="Times New Roman" w:hAnsi="Times New Roman"/>
          <w:sz w:val="24"/>
        </w:rPr>
        <w:t xml:space="preserve"> </w:t>
      </w:r>
      <w:r>
        <w:t xml:space="preserve">________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025 </w:t>
      </w:r>
      <w:r>
        <w:rPr>
          <w:rFonts w:ascii="Times New Roman" w:hAnsi="Times New Roman"/>
          <w:sz w:val="24"/>
        </w:rPr>
        <w:t xml:space="preserve">года</w:t>
      </w:r>
      <w:r>
        <w:rPr>
          <w:rFonts w:ascii="Times New Roman" w:hAnsi="Times New Roman"/>
          <w:sz w:val="24"/>
        </w:rPr>
        <w:t xml:space="preserve"> № </w:t>
      </w:r>
      <w:r>
        <w:t xml:space="preserve">____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left="11624" w:firstLine="0"/>
      </w:pPr>
      <w:r>
        <w:t xml:space="preserve">Приложение 1 к Порядку предоставления </w:t>
      </w:r>
      <w:r>
        <w:t xml:space="preserve">компе</w:t>
      </w:r>
      <w:r>
        <w:t xml:space="preserve">нсации расходов на приобретение </w:t>
      </w:r>
      <w:r>
        <w:t xml:space="preserve">материально-технических средств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>
        <w:t xml:space="preserve">Размеры компенсации коренным малочисленным народам</w:t>
      </w:r>
      <w:r/>
    </w:p>
    <w:p>
      <w:pPr>
        <w:pStyle w:val="904"/>
        <w:ind w:firstLine="0"/>
        <w:jc w:val="center"/>
      </w:pPr>
      <w:r>
        <w:t xml:space="preserve">на приобретение материально-технических средств</w:t>
      </w:r>
      <w:r/>
    </w:p>
    <w:p>
      <w:pPr>
        <w:ind w:firstLine="0"/>
        <w:jc w:val="center"/>
        <w:outlineLvl w:val="0"/>
      </w:pPr>
      <w:r/>
      <w:r/>
    </w:p>
    <w:tbl>
      <w:tblPr>
        <w:tblW w:w="1592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3"/>
        <w:gridCol w:w="840"/>
        <w:gridCol w:w="1080"/>
        <w:gridCol w:w="840"/>
        <w:gridCol w:w="720"/>
        <w:gridCol w:w="960"/>
        <w:gridCol w:w="1080"/>
        <w:gridCol w:w="1139"/>
        <w:gridCol w:w="812"/>
        <w:gridCol w:w="969"/>
        <w:gridCol w:w="885"/>
        <w:gridCol w:w="1236"/>
        <w:gridCol w:w="848"/>
        <w:gridCol w:w="848"/>
        <w:gridCol w:w="814"/>
        <w:gridCol w:w="814"/>
        <w:gridCol w:w="814"/>
        <w:gridCol w:w="814"/>
        <w:gridCol w:w="8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№ п/п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Категория Заявителей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Снегоход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Лодочный мотор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Лодка (шлюпка)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Электростан</w:t>
            </w:r>
            <w:r>
              <w:rPr>
                <w:sz w:val="17"/>
                <w:szCs w:val="17"/>
              </w:rPr>
              <w:t xml:space="preserve">ция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Радиостанция, спутниковые телефоны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Прицепы (нарты, сани) к снегоходу, вездеходной технике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Сетема</w:t>
            </w:r>
            <w:r>
              <w:rPr>
                <w:sz w:val="17"/>
                <w:szCs w:val="17"/>
              </w:rPr>
              <w:t xml:space="preserve">-</w:t>
            </w:r>
            <w:r>
              <w:rPr>
                <w:sz w:val="17"/>
                <w:szCs w:val="17"/>
              </w:rPr>
              <w:t xml:space="preserve">териалы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Охотничье оружие, снаряжение и боеприпасы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Запасные части </w:t>
            </w:r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HYPERLINK \l Par64 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color w:val="0000ff"/>
                <w:sz w:val="17"/>
                <w:szCs w:val="17"/>
              </w:rPr>
              <w:t xml:space="preserve">&lt;*&gt;</w:t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Мотопомпа напорная, ранцевые лесные огнетушители (опрыскиватели)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Юфтевая кожа для изготовления оленьих упряжек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Солнечная электростанция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Спасатель</w:t>
            </w:r>
            <w:r>
              <w:rPr>
                <w:sz w:val="17"/>
                <w:szCs w:val="17"/>
              </w:rPr>
              <w:t xml:space="preserve">ный жилет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t xml:space="preserve">Вездеходная техника (кроме квадроциклов)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t xml:space="preserve">Квадроцикл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Бензопила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Пилорама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8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12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13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14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15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16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17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18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19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>
          <w:trHeight w:val="1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Первая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</w:pPr>
            <w:r>
              <w:rPr>
                <w:sz w:val="17"/>
                <w:szCs w:val="17"/>
              </w:rPr>
              <w:t xml:space="preserve">1 раз в 5 лет, 75%, но не более 500000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10 лет, 75%, но не более 250000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100000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33750/ 3750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5250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250000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1500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</w:pPr>
            <w:r>
              <w:rPr>
                <w:sz w:val="17"/>
                <w:szCs w:val="17"/>
              </w:rPr>
              <w:t xml:space="preserve">1 раз в 5 лет, 75%, но не более 500000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</w:pPr>
            <w:r>
              <w:rPr>
                <w:sz w:val="17"/>
                <w:szCs w:val="17"/>
              </w:rPr>
              <w:t xml:space="preserve">1 раз в 5 лет, 75%, но не более 500000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50000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75%, но не более 260000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Вторая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330000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330000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10 лет, 50%, но не более 170000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70000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22500/ 2500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170000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1000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330000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330000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35000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более 170000 рублей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</w:tbl>
    <w:tbl>
      <w:tblPr>
        <w:tblW w:w="1592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35"/>
        <w:gridCol w:w="889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6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&lt;*&gt; Перечень запасных частей, стоимость которых подлежит компенсации. Компенсация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5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&lt;*&gt; Для снегохода, вездеходной техники: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1.1. Гусеница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1.2. Балансир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1.3. Катки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1.4. Коленчатый вал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1.5. Редуктор в сборе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1.6. Стартер (электростартер)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1.7. Цилиндр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1.8. Карбюратор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1.9. Поршень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1.10. Вариатор (ведомый, ведущий)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1.11. Цепь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1.12. Рессора (в сборе)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1.13. Опорные катки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1.14. Пружины опорных катков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1.15. Задняя подвеска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1.16. Цилиндропоршневая группа (цилиндры)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1.17. Вал направляющий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1.18. Лыжа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1.19. Двигатель (двигатель в сборе)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1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 &lt;*&gt; Для лодочного мотора: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2.1. Коленчатый вал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2.2. Редуктор в сборе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2.3. Стартер (электростартер)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2.4. Цилиндр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2.5. Карбюратор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2.6. Поршень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pStyle w:val="904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2.7. Винт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</w:tbl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</w:pPr>
      <w:r/>
      <w:r/>
    </w:p>
    <w:p>
      <w:pPr>
        <w:pStyle w:val="904"/>
        <w:ind w:firstLine="0"/>
        <w:sectPr>
          <w:footnotePr/>
          <w:endnotePr/>
          <w:type w:val="nextPage"/>
          <w:pgSz w:w="16838" w:h="11906" w:orient="landscape"/>
          <w:pgMar w:top="1418" w:right="567" w:bottom="567" w:left="567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5102" w:right="0" w:firstLine="0"/>
        <w:jc w:val="both"/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постановлению администрации Белоярского района </w:t>
      </w:r>
      <w:r>
        <w:rPr>
          <w:rFonts w:ascii="Times New Roman" w:hAnsi="Times New Roman"/>
          <w:sz w:val="24"/>
        </w:rPr>
        <w:t xml:space="preserve">от </w:t>
      </w:r>
      <w:r>
        <w:t xml:space="preserve">____</w:t>
      </w:r>
      <w:r>
        <w:rPr>
          <w:rFonts w:ascii="Times New Roman" w:hAnsi="Times New Roman"/>
          <w:sz w:val="24"/>
        </w:rPr>
        <w:t xml:space="preserve"> </w:t>
      </w:r>
      <w:r>
        <w:t xml:space="preserve">________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025 </w:t>
      </w:r>
      <w:r>
        <w:rPr>
          <w:rFonts w:ascii="Times New Roman" w:hAnsi="Times New Roman"/>
          <w:sz w:val="24"/>
        </w:rPr>
        <w:t xml:space="preserve">года</w:t>
      </w:r>
      <w:r>
        <w:rPr>
          <w:rFonts w:ascii="Times New Roman" w:hAnsi="Times New Roman"/>
          <w:sz w:val="24"/>
        </w:rPr>
        <w:t xml:space="preserve"> № </w:t>
      </w:r>
      <w:r>
        <w:t xml:space="preserve">____</w:t>
      </w:r>
      <w:r/>
    </w:p>
    <w:p>
      <w:pPr>
        <w:ind w:left="0" w:right="0" w:firstLine="0"/>
        <w:jc w:val="center"/>
      </w:pPr>
      <w:r/>
      <w:r/>
    </w:p>
    <w:tbl>
      <w:tblPr>
        <w:tblW w:w="4253" w:type="dxa"/>
        <w:tblInd w:w="5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widowControl w:val="off"/>
              <w:outlineLvl w:val="1"/>
            </w:pPr>
            <w:r>
              <w:t xml:space="preserve">Приложение 2</w:t>
            </w:r>
            <w:r>
              <w:t xml:space="preserve"> к Порядку предоставления компенсации расходов на приобретение материально-технических средств </w:t>
            </w:r>
            <w:r/>
          </w:p>
        </w:tc>
      </w:tr>
    </w:tbl>
    <w:p>
      <w:pPr>
        <w:pStyle w:val="904"/>
        <w:ind w:firstLine="0"/>
        <w:jc w:val="right"/>
      </w:pPr>
      <w:r/>
      <w:r/>
    </w:p>
    <w:tbl>
      <w:tblPr>
        <w:tblW w:w="0" w:type="auto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15"/>
        <w:gridCol w:w="2410"/>
        <w:gridCol w:w="391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ind w:right="-9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(последнее – при наличии)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173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компенсации </w:t>
      </w:r>
      <w:r>
        <w:rPr>
          <w:rFonts w:ascii="Times New Roman" w:hAnsi="Times New Roman" w:cs="Times New Roman"/>
          <w:sz w:val="24"/>
          <w:szCs w:val="24"/>
        </w:rPr>
        <w:t xml:space="preserve">расходов на приобретение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материально-технических средств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рошу предоставить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компенсацию </w:t>
      </w: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следующих материально-технических средств: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материально-технических средств)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приобретенных материально-технических средств составляет _____________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заявителя: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первая/вторая</w:t>
      </w:r>
      <w:r>
        <w:rPr>
          <w:rFonts w:ascii="Times New Roman" w:hAnsi="Times New Roman" w:cs="Times New Roman"/>
          <w:sz w:val="24"/>
          <w:szCs w:val="24"/>
        </w:rPr>
        <w:t xml:space="preserve"> (подчеркнуть нужное).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с отметкой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свидетельства о рождении, подтверждающего, что родители заявителя либо один из родителей относятся к лицам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кассовый чек либо копия расчетных (платежных) документов, предусмотренных действующим законодательством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приобретенные материально-технические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паспорта, инструкции, руководства по эксплуатации либо иного документа, в которых указан серийный (идентификационный) номер технического средства на электростанцию, радиостанцию, спутниковый телефон, охотничье оружие, двигатель для снегохода, везде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ходной техники, мотопомпу напорную, солнечную электростанцию, бензопилу, пилораму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паспорта самоходной машины или выписки их электронного паспорта самоходной машины на снегоход, вездеходную технику, квадроцикл;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свидетельства о государственной регистрации на снегоход, вездеходную технику, квадроцикл;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судового билета на</w:t>
      </w:r>
      <w:r>
        <w:rPr>
          <w:bCs/>
        </w:rPr>
        <w:t xml:space="preserve"> лодку (шлюпку), лодочный мотор;</w:t>
      </w:r>
      <w:r>
        <w:rPr>
          <w:bCs/>
        </w:rPr>
      </w:r>
      <w:r>
        <w:rPr>
          <w:bCs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свидетельства о постановке на учет в налоговом органе физического лица по месту жительства на территории Российской Федерации (ИНН);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t xml:space="preserve">п</w:t>
      </w:r>
      <w:r>
        <w:t xml:space="preserve">латежные реквизиты для перечисления денежных средств</w:t>
      </w:r>
      <w:r>
        <w:t xml:space="preserve">;</w:t>
      </w:r>
      <w:r>
        <w:rPr>
          <w:bCs/>
        </w:rPr>
      </w:r>
      <w:r>
        <w:rPr>
          <w:bCs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</w:t>
      </w:r>
      <w:r>
        <w:rPr>
          <w:rFonts w:ascii="Times New Roman" w:hAnsi="Times New Roman" w:cs="Times New Roman"/>
          <w:bCs/>
          <w:sz w:val="24"/>
          <w:szCs w:val="24"/>
        </w:rPr>
        <w:t xml:space="preserve">ополнительно </w:t>
      </w:r>
      <w:r>
        <w:rPr>
          <w:rFonts w:ascii="Times New Roman" w:hAnsi="Times New Roman" w:cs="Times New Roman"/>
          <w:sz w:val="24"/>
          <w:szCs w:val="24"/>
        </w:rPr>
        <w:t xml:space="preserve">для заявителей второй категории: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(соглашения) о добыче (вылове) водных биоресурсов с организацией, имеющей разрешение на добычу</w:t>
      </w:r>
      <w:r>
        <w:rPr>
          <w:rFonts w:ascii="Times New Roman" w:hAnsi="Times New Roman" w:cs="Times New Roman"/>
          <w:sz w:val="24"/>
          <w:szCs w:val="24"/>
        </w:rPr>
        <w:t xml:space="preserve"> (вылов) водных биоресурсов, или копия договора (соглашения) о добыче охотничьих ресурсов с организацией, имеющей охотхозяйственное соглашение в соответствии с законодательством Российской Федерации, или копия договора (соглашения) о заготовке пищевых лесн</w:t>
      </w:r>
      <w:r>
        <w:rPr>
          <w:rFonts w:ascii="Times New Roman" w:hAnsi="Times New Roman" w:cs="Times New Roman"/>
          <w:sz w:val="24"/>
          <w:szCs w:val="24"/>
        </w:rPr>
        <w:t xml:space="preserve">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копия договора (соглашения) купли-продажи продукции оленеводства с </w:t>
      </w:r>
      <w:r>
        <w:rPr>
          <w:rFonts w:ascii="Times New Roman" w:hAnsi="Times New Roman" w:cs="Times New Roman"/>
          <w:sz w:val="24"/>
          <w:szCs w:val="24"/>
        </w:rPr>
        <w:t xml:space="preserve">оленеводческими компаниями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документов, подтверждающих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ветеринарно-санитарного паспорта хозяйства (подворья) с указанием поголовья северных оленей (для заявителей, заключивших договор (соглашение) купли-продажи продукции оленеводства с оленеводческими компаниями)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(последнее – при наличии) 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астоящим заявлением декларирую, что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оглашений (договоров) с пользователями недр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) об использовании земель для целей недропользования в границах территорий традиционного</w:t>
      </w:r>
      <w:r>
        <w:rPr>
          <w:rFonts w:ascii="Times New Roman" w:hAnsi="Times New Roman" w:cs="Times New Roman"/>
          <w:sz w:val="24"/>
          <w:szCs w:val="24"/>
        </w:rPr>
        <w:t xml:space="preserve"> природопользования, на дату подачи заявления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t xml:space="preserve">&lt;*&gt;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 xml:space="preserve">(имею/не имею)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ind w:firstLine="283"/>
        <w:jc w:val="left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5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з</w:t>
      </w:r>
      <w:r>
        <w:rPr>
          <w:rFonts w:ascii="Times New Roman" w:hAnsi="Times New Roman"/>
        </w:rPr>
        <w:t xml:space="preserve">аполняется заявителями первой категории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 принятом решении прошу направить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почтовый адрес либо адрес электронной почты </w:t>
      </w:r>
      <w:r>
        <w:rPr>
          <w:rFonts w:ascii="Times New Roman" w:hAnsi="Times New Roman" w:cs="Times New Roman"/>
        </w:rPr>
        <w:t xml:space="preserve">заявителя (по выбору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(последнее – при наличии) 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одписывая настоящее заявление, подтверждаю д</w:t>
      </w:r>
      <w:r>
        <w:rPr>
          <w:rFonts w:ascii="Times New Roman" w:hAnsi="Times New Roman" w:cs="Times New Roman"/>
          <w:sz w:val="24"/>
          <w:szCs w:val="24"/>
        </w:rPr>
        <w:t xml:space="preserve">остоверность предоставленных мною сведений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даю согласи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е администрации Белоярского района, расположенной по адресу: 628162, Тюменская область, Ханты-Мансийский автономный округ - Югра, город Белоярский, улица Центральная, дом 9, на обработку персональных данных, то есть на совершение действий, предусмотренных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"consultantplus://offline/ref=E86D279A4A2789823C47D4255CFD06FD26FE5F5D0545551088CE0A02AAAFBBA07295FDCFCA1D3D7FA259CF868AB6E58C388AC192A657DF96s63EK"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4"/>
        </w:rPr>
        <w:t xml:space="preserve">п. 3 ст.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Федерального закона от 27 июля      2006 года № 152-ФЗ «О перс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ональных данных», представленных в целях принятия решения о предоставлении мне компенсации расходов на приобретение материально-технических средств. Согласие на обработку персональных данных действует со дня его подписания до дня отзыва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_» ____________ 20_____ г.                                                                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(подпись)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4"/>
  </w:num>
  <w:num w:numId="10">
    <w:abstractNumId w:val="9"/>
  </w:num>
  <w:num w:numId="11">
    <w:abstractNumId w:val="16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7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ind w:firstLine="709"/>
      <w:jc w:val="both"/>
    </w:pPr>
    <w:rPr>
      <w:sz w:val="24"/>
      <w:szCs w:val="24"/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  <w:szCs w:val="20"/>
    </w:rPr>
  </w:style>
  <w:style w:type="paragraph" w:styleId="906">
    <w:name w:val="Заголовок 2"/>
    <w:basedOn w:val="904"/>
    <w:next w:val="904"/>
    <w:link w:val="9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  <w:szCs w:val="20"/>
    </w:rPr>
  </w:style>
  <w:style w:type="character" w:styleId="908">
    <w:name w:val="Основной шрифт абзаца"/>
    <w:next w:val="908"/>
    <w:link w:val="904"/>
    <w:semiHidden/>
  </w:style>
  <w:style w:type="table" w:styleId="909">
    <w:name w:val="Обычная таблица"/>
    <w:next w:val="909"/>
    <w:link w:val="904"/>
    <w:semiHidden/>
    <w:tblPr/>
  </w:style>
  <w:style w:type="numbering" w:styleId="910">
    <w:name w:val="Нет списка"/>
    <w:next w:val="910"/>
    <w:link w:val="904"/>
    <w:semiHidden/>
  </w:style>
  <w:style w:type="paragraph" w:styleId="911">
    <w:name w:val="ConsPlusNormal"/>
    <w:next w:val="911"/>
    <w:link w:val="937"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Обычный (веб)"/>
    <w:basedOn w:val="904"/>
    <w:next w:val="912"/>
    <w:link w:val="904"/>
    <w:pPr>
      <w:spacing w:before="100" w:beforeAutospacing="1" w:after="100" w:afterAutospacing="1"/>
    </w:pPr>
  </w:style>
  <w:style w:type="paragraph" w:styleId="913">
    <w:name w:val="ConsPlusTitle"/>
    <w:next w:val="913"/>
    <w:link w:val="904"/>
    <w:pPr>
      <w:ind w:firstLine="709"/>
      <w:jc w:val="both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Основной текст с отступом 2"/>
    <w:basedOn w:val="904"/>
    <w:next w:val="914"/>
    <w:link w:val="904"/>
    <w:pPr>
      <w:ind w:firstLine="709"/>
      <w:jc w:val="both"/>
    </w:pPr>
  </w:style>
  <w:style w:type="paragraph" w:styleId="915">
    <w:name w:val="Верхний колонтитул"/>
    <w:basedOn w:val="904"/>
    <w:next w:val="915"/>
    <w:link w:val="904"/>
    <w:pPr>
      <w:tabs>
        <w:tab w:val="center" w:pos="4677" w:leader="none"/>
        <w:tab w:val="right" w:pos="9355" w:leader="none"/>
      </w:tabs>
    </w:pPr>
  </w:style>
  <w:style w:type="paragraph" w:styleId="916">
    <w:name w:val="Нижний колонтитул"/>
    <w:basedOn w:val="904"/>
    <w:next w:val="916"/>
    <w:link w:val="904"/>
    <w:pPr>
      <w:tabs>
        <w:tab w:val="center" w:pos="4677" w:leader="none"/>
        <w:tab w:val="right" w:pos="9355" w:leader="none"/>
      </w:tabs>
    </w:pPr>
  </w:style>
  <w:style w:type="character" w:styleId="917">
    <w:name w:val="Номер страницы"/>
    <w:basedOn w:val="908"/>
    <w:next w:val="917"/>
    <w:link w:val="904"/>
  </w:style>
  <w:style w:type="paragraph" w:styleId="918">
    <w:name w:val="ConsPlusNonformat"/>
    <w:next w:val="918"/>
    <w:link w:val="904"/>
    <w:pPr>
      <w:ind w:firstLine="709"/>
      <w:jc w:val="both"/>
      <w:widowControl w:val="off"/>
    </w:pPr>
    <w:rPr>
      <w:rFonts w:ascii="Courier New" w:hAnsi="Courier New" w:cs="Courier New"/>
      <w:lang w:val="ru-RU" w:eastAsia="ru-RU" w:bidi="ar-SA"/>
    </w:rPr>
  </w:style>
  <w:style w:type="paragraph" w:styleId="919">
    <w:name w:val="ConsPlusCell"/>
    <w:next w:val="919"/>
    <w:link w:val="904"/>
    <w:uiPriority w:val="99"/>
    <w:pPr>
      <w:ind w:firstLine="709"/>
      <w:jc w:val="both"/>
      <w:widowControl w:val="off"/>
    </w:pPr>
    <w:rPr>
      <w:rFonts w:ascii="Arial" w:hAnsi="Arial" w:cs="Arial"/>
      <w:lang w:val="ru-RU" w:eastAsia="ru-RU" w:bidi="ar-SA"/>
    </w:rPr>
  </w:style>
  <w:style w:type="table" w:styleId="920">
    <w:name w:val="Сетка таблицы"/>
    <w:basedOn w:val="909"/>
    <w:next w:val="920"/>
    <w:link w:val="904"/>
    <w:uiPriority w:val="59"/>
    <w:tblPr/>
  </w:style>
  <w:style w:type="paragraph" w:styleId="921">
    <w:name w:val="Текст выноски"/>
    <w:basedOn w:val="904"/>
    <w:next w:val="921"/>
    <w:link w:val="904"/>
    <w:semiHidden/>
    <w:rPr>
      <w:rFonts w:ascii="Tahoma" w:hAnsi="Tahoma" w:cs="Tahoma"/>
      <w:sz w:val="16"/>
      <w:szCs w:val="16"/>
    </w:rPr>
  </w:style>
  <w:style w:type="paragraph" w:styleId="922">
    <w:name w:val="Основной текст с отступом 3"/>
    <w:basedOn w:val="904"/>
    <w:next w:val="922"/>
    <w:link w:val="904"/>
    <w:pPr>
      <w:ind w:left="283"/>
      <w:spacing w:after="120"/>
    </w:pPr>
    <w:rPr>
      <w:sz w:val="16"/>
      <w:szCs w:val="16"/>
    </w:rPr>
  </w:style>
  <w:style w:type="paragraph" w:styleId="923">
    <w:name w:val="Знак"/>
    <w:basedOn w:val="904"/>
    <w:next w:val="923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character" w:styleId="924">
    <w:name w:val="Гиперссылка"/>
    <w:next w:val="924"/>
    <w:link w:val="904"/>
    <w:uiPriority w:val="99"/>
    <w:rPr>
      <w:color w:val="0000ff"/>
      <w:u w:val="single"/>
    </w:rPr>
  </w:style>
  <w:style w:type="paragraph" w:styleId="925">
    <w:name w:val="Схема документа"/>
    <w:basedOn w:val="904"/>
    <w:next w:val="925"/>
    <w:link w:val="926"/>
    <w:rPr>
      <w:rFonts w:ascii="Tahoma" w:hAnsi="Tahoma" w:cs="Tahoma"/>
      <w:sz w:val="16"/>
      <w:szCs w:val="16"/>
    </w:rPr>
  </w:style>
  <w:style w:type="character" w:styleId="926">
    <w:name w:val="Схема документа Знак"/>
    <w:next w:val="926"/>
    <w:link w:val="925"/>
    <w:rPr>
      <w:rFonts w:ascii="Tahoma" w:hAnsi="Tahoma" w:cs="Tahoma"/>
      <w:sz w:val="16"/>
      <w:szCs w:val="16"/>
    </w:rPr>
  </w:style>
  <w:style w:type="character" w:styleId="927">
    <w:name w:val="Основной текст_"/>
    <w:next w:val="927"/>
    <w:link w:val="928"/>
    <w:rPr>
      <w:shd w:val="clear" w:color="auto" w:fill="ffffff"/>
    </w:rPr>
  </w:style>
  <w:style w:type="paragraph" w:styleId="928">
    <w:name w:val="Основной текст2"/>
    <w:basedOn w:val="904"/>
    <w:next w:val="928"/>
    <w:link w:val="927"/>
    <w:pPr>
      <w:ind w:firstLine="0"/>
      <w:spacing w:before="240" w:after="420" w:line="0" w:lineRule="atLeast"/>
      <w:shd w:val="clear" w:color="auto" w:fill="ffffff"/>
      <w:widowControl w:val="off"/>
    </w:pPr>
    <w:rPr>
      <w:sz w:val="20"/>
      <w:szCs w:val="20"/>
    </w:rPr>
  </w:style>
  <w:style w:type="paragraph" w:styleId="929">
    <w:name w:val=" Char Знак"/>
    <w:basedOn w:val="904"/>
    <w:next w:val="929"/>
    <w:link w:val="904"/>
    <w:pPr>
      <w:ind w:firstLine="0"/>
      <w:jc w:val="left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0">
    <w:name w:val="Обычный + 11 пт,По ширине"/>
    <w:basedOn w:val="904"/>
    <w:next w:val="930"/>
    <w:link w:val="904"/>
    <w:pPr>
      <w:ind w:firstLine="0"/>
    </w:pPr>
    <w:rPr>
      <w:bCs/>
      <w:sz w:val="22"/>
      <w:szCs w:val="22"/>
    </w:rPr>
  </w:style>
  <w:style w:type="character" w:styleId="931">
    <w:name w:val="Заголовок №1_"/>
    <w:next w:val="931"/>
    <w:link w:val="932"/>
    <w:rPr>
      <w:b/>
      <w:bCs/>
      <w:shd w:val="clear" w:color="auto" w:fill="ffffff"/>
    </w:rPr>
  </w:style>
  <w:style w:type="paragraph" w:styleId="932">
    <w:name w:val="Заголовок №1"/>
    <w:basedOn w:val="904"/>
    <w:next w:val="932"/>
    <w:link w:val="931"/>
    <w:pPr>
      <w:ind w:firstLine="0"/>
      <w:spacing w:before="300" w:line="317" w:lineRule="exact"/>
      <w:shd w:val="clear" w:color="auto" w:fill="ffffff"/>
      <w:widowControl w:val="off"/>
      <w:outlineLvl w:val="0"/>
    </w:pPr>
    <w:rPr>
      <w:b/>
      <w:bCs/>
      <w:sz w:val="20"/>
      <w:szCs w:val="20"/>
    </w:rPr>
  </w:style>
  <w:style w:type="paragraph" w:styleId="933">
    <w:name w:val=" Знак Знак4 Знак"/>
    <w:basedOn w:val="904"/>
    <w:next w:val="933"/>
    <w:link w:val="904"/>
    <w:pPr>
      <w:ind w:firstLine="0"/>
      <w:jc w:val="left"/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934">
    <w:name w:val="Абзац списка"/>
    <w:basedOn w:val="904"/>
    <w:next w:val="934"/>
    <w:link w:val="904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5">
    <w:name w:val="Текст сноски"/>
    <w:basedOn w:val="904"/>
    <w:next w:val="935"/>
    <w:link w:val="936"/>
    <w:pPr>
      <w:ind w:firstLine="0"/>
      <w:jc w:val="left"/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936">
    <w:name w:val="Текст сноски Знак"/>
    <w:next w:val="936"/>
    <w:link w:val="935"/>
    <w:rPr>
      <w:rFonts w:ascii="Calibri" w:hAnsi="Calibri" w:eastAsia="Calibri"/>
      <w:lang w:eastAsia="en-US"/>
    </w:rPr>
  </w:style>
  <w:style w:type="character" w:styleId="937">
    <w:name w:val="ConsPlusNormal Знак"/>
    <w:next w:val="937"/>
    <w:link w:val="911"/>
    <w:rPr>
      <w:rFonts w:ascii="Arial" w:hAnsi="Arial" w:cs="Arial"/>
    </w:rPr>
  </w:style>
  <w:style w:type="character" w:styleId="938">
    <w:name w:val="Знак сноски"/>
    <w:next w:val="938"/>
    <w:link w:val="904"/>
    <w:unhideWhenUsed/>
    <w:rPr>
      <w:vertAlign w:val="superscript"/>
    </w:rPr>
  </w:style>
  <w:style w:type="table" w:styleId="939">
    <w:name w:val="Сетка таблицы1"/>
    <w:basedOn w:val="909"/>
    <w:next w:val="920"/>
    <w:link w:val="904"/>
    <w:uiPriority w:val="39"/>
    <w:rPr>
      <w:rFonts w:ascii="Calibri" w:hAnsi="Calibri" w:eastAsia="Times New Roman"/>
      <w:sz w:val="22"/>
      <w:szCs w:val="22"/>
    </w:rPr>
    <w:tblPr/>
  </w:style>
  <w:style w:type="character" w:styleId="940" w:default="1">
    <w:name w:val="Default Paragraph Font"/>
    <w:uiPriority w:val="1"/>
    <w:semiHidden/>
    <w:unhideWhenUsed/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1417</cp:revision>
  <dcterms:created xsi:type="dcterms:W3CDTF">2008-06-23T03:52:00Z</dcterms:created>
  <dcterms:modified xsi:type="dcterms:W3CDTF">2025-11-05T11:09:21Z</dcterms:modified>
  <cp:version>1048576</cp:version>
</cp:coreProperties>
</file>