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131631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96566" cy="885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8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85"/>
        <w:rPr>
          <w:sz w:val="28"/>
          <w:szCs w:val="28"/>
        </w:rPr>
      </w:pPr>
      <w:r>
        <w:rPr>
          <w:sz w:val="22"/>
          <w:szCs w:val="22"/>
        </w:rPr>
        <w:t xml:space="preserve">ХАНТЫ-МАНСИЙСКИЙ АВТОНОМНЫЙ ОКРУГ - ЮГРА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проект     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5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righ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86"/>
        <w:rPr>
          <w:sz w:val="22"/>
          <w:szCs w:val="22"/>
        </w:rPr>
      </w:pPr>
      <w:r>
        <w:rPr>
          <w:szCs w:val="28"/>
        </w:rPr>
        <w:t xml:space="preserve">ПОСТАНОВЛЕНИЕ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__________2025 года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                                         № 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rPr>
          <w:b w:val="0"/>
          <w:sz w:val="22"/>
          <w:szCs w:val="22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 внесении изменений в приложение к постановлению администрации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Белоярского района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от 5 декабря 2024 года № 852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</w:pPr>
      <w:r/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 о с т а н о в л я 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firstLine="709"/>
        <w:jc w:val="both"/>
        <w:spacing w:after="0"/>
        <w:shd w:val="clear" w:color="ffffff" w:themeColor="background1" w:fill="ffffff" w:themeFill="background1"/>
      </w:pPr>
      <w:r>
        <w:rPr>
          <w:color w:val="000000"/>
        </w:rPr>
        <w:t xml:space="preserve">1.</w:t>
      </w:r>
      <w:r>
        <w:rPr>
          <w:color w:val="000000"/>
        </w:rPr>
        <w:t xml:space="preserve"> </w:t>
      </w:r>
      <w:r>
        <w:rPr>
          <w:lang w:eastAsia="ru-RU"/>
        </w:rPr>
        <w:t xml:space="preserve">Внести в приложение «Муниципальная программа Белоярского района </w:t>
      </w:r>
      <w:r>
        <w:rPr>
          <w:color w:val="000000"/>
        </w:rPr>
        <w:t xml:space="preserve">«Укрепление общественного здоровья жителей Белоярского района»</w:t>
      </w:r>
      <w:r>
        <w:rPr>
          <w:lang w:eastAsia="ru-RU"/>
        </w:rPr>
        <w:t xml:space="preserve"> (далее – муниципальная программа) к постановлению </w:t>
      </w:r>
      <w:r>
        <w:t xml:space="preserve">администрации Белоярского района </w:t>
      </w:r>
      <w:r>
        <w:rPr>
          <w:color w:val="000000"/>
        </w:rPr>
        <w:t xml:space="preserve">от 5 </w:t>
      </w:r>
      <w:r>
        <w:rPr>
          <w:rFonts w:eastAsia="Times New Roman"/>
        </w:rPr>
        <w:t xml:space="preserve">декабря 2024 года № 852</w:t>
      </w:r>
      <w:r>
        <w:rPr>
          <w:color w:val="000000"/>
        </w:rPr>
        <w:t xml:space="preserve"> «Об утверждении муниципальной программы Белоярского района «Укрепление общественного здоровья жителей Белоярского района» </w:t>
      </w:r>
      <w:r>
        <w:rPr>
          <w:rFonts w:eastAsia="Times New Roman"/>
          <w:lang w:eastAsia="ru-RU"/>
        </w:rPr>
        <w:t xml:space="preserve">следующие изменения: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</w:rPr>
        <w:t xml:space="preserve">1)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дополнить муниципальную программу приложением 1 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первичной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ситуации  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Белоярском районе по состоянию общественного здоровья и наличию условий для ведения здорового образа жизни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 согласно приложению 1 к настоящему постановлению;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2) дополнить муниципальную программу приложением 2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«План мероприятий реализации муниципальной программы Белоярского района «Укрепление общественного здоровья жителей Белоярского района»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согласно приложению 2 к настоящему постановлению.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9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/>
    </w:p>
    <w:p>
      <w:pPr>
        <w:pStyle w:val="889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/>
    </w:p>
    <w:p>
      <w:pPr>
        <w:pStyle w:val="889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/>
    </w:p>
    <w:p>
      <w:pPr>
        <w:pStyle w:val="88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ind w:right="-23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7"/>
        <w:ind w:right="-23"/>
        <w:jc w:val="both"/>
        <w:rPr>
          <w:szCs w:val="24"/>
        </w:rPr>
      </w:pPr>
      <w:r>
        <w:rPr>
          <w:szCs w:val="24"/>
        </w:rPr>
        <w:t xml:space="preserve">Глава Белоярского района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С.П. Маненков</w:t>
      </w:r>
      <w:r>
        <w:rPr>
          <w:szCs w:val="24"/>
        </w:rPr>
      </w:r>
      <w:r>
        <w:rPr>
          <w:szCs w:val="24"/>
        </w:rPr>
      </w:r>
    </w:p>
    <w:p>
      <w:pPr>
        <w:pStyle w:val="887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sectPr>
          <w:headerReference w:type="default" r:id="rId9"/>
          <w:headerReference w:type="first" r:id="rId10"/>
          <w:footerReference w:type="first" r:id="rId13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/>
      <w:r/>
    </w:p>
    <w:p>
      <w:pPr>
        <w:ind w:left="5471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ПРИЛОЖЕНИЕ 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5896" w:hanging="425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к постановлению администрации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896" w:hanging="425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896" w:hanging="425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от ______2025 года № 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 1 к муниципальной программе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 ц е н к 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первичной ситуации в белоярском районе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/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 состоянию общественного здоровья и наличию условий для ведения здорового образа жизни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3"/>
        </w:numPr>
        <w:jc w:val="center"/>
        <w:spacing w:after="198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Географические особенности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Белоярский район расположен в северной части Ханты-Мансийского автономного округа - Югры, на правобережье меридионального отрезка реки Оби. Северную часть района занимает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Полуйская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 возвышенность, южную - Белогорский Материк и Увал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Нумто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центральную - Нижнеобская и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Надымская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 низменности. Общие особенности рельефа: 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выположенность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 и слабая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дренированность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 способствуют активному процессу заболачивания (болота и водоёмы занимают около 25 % территории).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Площадь Белоярского района - 41645,99 км, и граничит с другими </w:t>
      </w:r>
      <w:hyperlink r:id="rId15" w:tooltip="Административно-территориальное деление Ханты-Мансийского автономного округа — Югры" w:history="1">
        <w:r>
          <w:rPr>
            <w:rFonts w:ascii="Times New Roman" w:hAnsi="Times New Roman" w:eastAsia="Times New Roman" w:cs="Times New Roman"/>
            <w:color w:val="202122"/>
            <w:sz w:val="24"/>
            <w:szCs w:val="24"/>
          </w:rPr>
          <w:t xml:space="preserve">районами Ханты - Мансийского автономного округа - Югры</w:t>
        </w:r>
      </w:hyperlink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: на западе - с </w:t>
      </w:r>
      <w:r>
        <w:fldChar w:fldCharType="begin"/>
      </w:r>
      <w:r>
        <w:instrText xml:space="preserve"> HYPERLINK "https://ru.wikipedia.org/wiki/%D0%91%D0%B5%D1%80%D1%91%D0%B7%D0%BE%D0%B2%D1%81%D0%BA%D0%B8%D0%B9_%D1%80%D0%B0%D0%B9%D0</w:instrText>
      </w:r>
      <w:r>
        <w:instrText xml:space="preserve">%BE%D0%BD_(%D0%A5%D0%B0%D0%BD%D1%82%D1%8B-%D0%9C%D0%B0%D0%BD%D1%81%D0%B8%D0%B9%D1%81%D0%BA%D0%B8%D0%B9_%D0%B0%D0%B2%D1%82%D0%BE%D0%BD%D0%BE%D0%BC%D0%BD%D1%8B%D0%B9_%D0%BE%D0%BA%D1%80%D1%83%D0%B3)" \o "Берёзовский район (Ханты-Мансийский автономный округ)"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Берёзовским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на юго-западе - с </w:t>
      </w:r>
      <w:hyperlink r:id="rId16" w:tooltip="Октябрьский район (Ханты-Мансийский автономный округ)" w:history="1">
        <w:r>
          <w:rPr>
            <w:rFonts w:ascii="Times New Roman" w:hAnsi="Times New Roman" w:eastAsia="Times New Roman" w:cs="Times New Roman"/>
            <w:color w:val="202122"/>
            <w:sz w:val="24"/>
            <w:szCs w:val="24"/>
          </w:rPr>
          <w:t xml:space="preserve">Октябрьским</w:t>
        </w:r>
      </w:hyperlink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на юге - с </w:t>
      </w:r>
      <w:hyperlink r:id="rId17" w:tooltip="Ханты-Мансийский район" w:history="1">
        <w:r>
          <w:rPr>
            <w:rFonts w:ascii="Times New Roman" w:hAnsi="Times New Roman" w:eastAsia="Times New Roman" w:cs="Times New Roman"/>
            <w:color w:val="202122"/>
            <w:sz w:val="24"/>
            <w:szCs w:val="24"/>
          </w:rPr>
          <w:t xml:space="preserve">Ханты-Мансийским</w:t>
        </w:r>
      </w:hyperlink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на юго-востоке - с </w:t>
      </w:r>
      <w:hyperlink r:id="rId18" w:tooltip="Сургутский район" w:history="1">
        <w:r>
          <w:rPr>
            <w:rFonts w:ascii="Times New Roman" w:hAnsi="Times New Roman" w:eastAsia="Times New Roman" w:cs="Times New Roman"/>
            <w:color w:val="202122"/>
            <w:sz w:val="24"/>
            <w:szCs w:val="24"/>
          </w:rPr>
          <w:t xml:space="preserve">Сургутским</w:t>
        </w:r>
      </w:hyperlink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 А так же         с </w:t>
      </w:r>
      <w:hyperlink r:id="rId19" w:tooltip="Административно-территориальное деление Ямало-Ненецкого автономного округа" w:history="1">
        <w:r>
          <w:rPr>
            <w:rFonts w:ascii="Times New Roman" w:hAnsi="Times New Roman" w:eastAsia="Times New Roman" w:cs="Times New Roman"/>
            <w:color w:val="202122"/>
            <w:sz w:val="24"/>
            <w:szCs w:val="24"/>
          </w:rPr>
          <w:t xml:space="preserve">районами соседнего Ямало-Ненецкого автономного округа</w:t>
        </w:r>
      </w:hyperlink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: на востоке - с </w:t>
      </w:r>
      <w:r>
        <w:fldChar w:fldCharType="begin"/>
      </w:r>
      <w:r>
        <w:instrText xml:space="preserve"> HYPERLINK "https://ru.wikipedia.org/wiki/%D0%9D%D0%B0%D0%B4%D1%8B%D0%BC%D1%81%D0%BA%D0%B8%D0%B9_%D1%80%D0%B0%D0%B9%D0%BE%D0%BD" \o "Надымский район"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Надымским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на северо-востоке - с </w:t>
      </w:r>
      <w:hyperlink r:id="rId20" w:tooltip="Приуральский район" w:history="1">
        <w:r>
          <w:rPr>
            <w:rFonts w:ascii="Times New Roman" w:hAnsi="Times New Roman" w:eastAsia="Times New Roman" w:cs="Times New Roman"/>
            <w:color w:val="202122"/>
            <w:sz w:val="24"/>
            <w:szCs w:val="24"/>
          </w:rPr>
          <w:t xml:space="preserve">Приуральским</w:t>
        </w:r>
      </w:hyperlink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на севере и северо-западе - с </w:t>
      </w:r>
      <w:r>
        <w:fldChar w:fldCharType="begin"/>
      </w:r>
      <w:r>
        <w:instrText xml:space="preserve"> HYPERLINK "https://ru.wikipedia.org/wiki/%D0%A8%D1%83%D1%80%D1%8B%D1%88%D0%BA%D0%B0%D1%80%D1%81%D0%BA%D0%B8%D0%B9_%D1%80%D0%B0%D0%B9%D0%BE%D0%BD" \o "Шурышкарский район"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Шурышкарским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  <w:highlight w:val="white"/>
        </w:rPr>
        <w:t xml:space="preserve">Район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находится в зоне с резко континентальным климатом и характеризуется быстрой сменой погодных условий, </w:t>
      </w:r>
      <w:r>
        <w:rPr>
          <w:rFonts w:ascii="Times New Roman" w:hAnsi="Times New Roman" w:eastAsia="Times New Roman" w:cs="Times New Roman"/>
          <w:color w:val="202122"/>
          <w:sz w:val="24"/>
          <w:szCs w:val="24"/>
          <w:highlight w:val="white"/>
        </w:rPr>
        <w:t xml:space="preserve">особенно в межсезонь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е - от осени к зиме, и от весны к лету, а также в течение суток. По причине климатических особенностей местности территория Белоярского района относится к районам Крайнего Севера.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Гидрографическая сеть на территории Белоярского района хорошо развит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а. Основной водной артерией является Обь - самая большая река России по площади водосбора, протекающая в западной части района. Из крупных рек по территории протекает р. Казым, пересекающая практически всю территорию района и впадающая в Обь. Реки замерзаю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т обычно в конце октября - начале ноября, вскрытие от льда происходит, как правило, в середине мая, то есть большую часть года, они находятся под льдом.                          В Белоярском районе множество озёр, большинство из которых не имеют названия. 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Белоярский райо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н со всех сторон окружён смешанными лесами, простирающимися до самого горизонта. Местные лесные массивы служат богатым источником дикорастущих плодов, ягод и грибов, издревле являющихся ценным даром природы и важной составляющей рациона местного населения.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</w:p>
    <w:p>
      <w:pPr>
        <w:ind w:firstLine="567"/>
        <w:jc w:val="center"/>
        <w:spacing w:after="19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Демографические характеристики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Основными особенностями системы расселения Белоярского района,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также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 как и многих других северных территорий нового освоения, является низкая плотность населения, неравномерность его размещения, сравнительно высокий уровень урбанизации.</w:t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</w:rPr>
        <w:t xml:space="preserve">Численность населения Белоярского района по состоянию на 01.01.2025 год составила 28 286 человек, среднегодовая численность за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2024 год составила 28 382 человека.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0"/>
        <w:jc w:val="lef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/>
        <w:jc w:val="lef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Cs/>
          <w:sz w:val="24"/>
          <w:szCs w:val="24"/>
          <w:highlight w:val="none"/>
        </w:rPr>
      </w:r>
      <w:r>
        <w:rPr>
          <w:rFonts w:ascii="Times New Roman" w:hAnsi="Times New Roman"/>
          <w:bCs/>
          <w:sz w:val="24"/>
          <w:szCs w:val="24"/>
          <w:highlight w:val="none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Cs/>
          <w:sz w:val="24"/>
          <w:szCs w:val="24"/>
          <w:highlight w:val="none"/>
        </w:rPr>
      </w:r>
      <w:r>
        <w:rPr>
          <w:rFonts w:ascii="Times New Roman" w:hAnsi="Times New Roman"/>
          <w:bCs/>
          <w:sz w:val="24"/>
          <w:szCs w:val="24"/>
          <w:highlight w:val="none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Cs/>
          <w:sz w:val="24"/>
          <w:szCs w:val="24"/>
          <w:highlight w:val="none"/>
        </w:rPr>
      </w:r>
      <w:r>
        <w:rPr>
          <w:rFonts w:ascii="Times New Roman" w:hAnsi="Times New Roman"/>
          <w:bCs/>
          <w:sz w:val="24"/>
          <w:szCs w:val="24"/>
          <w:highlight w:val="none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2854665</wp:posOffset>
                </wp:positionH>
                <wp:positionV relativeFrom="paragraph">
                  <wp:posOffset>-393673</wp:posOffset>
                </wp:positionV>
                <wp:extent cx="447675" cy="323850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447674" cy="323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r>
                              <w:t xml:space="preserve">2</w:t>
                            </w:r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6144;o:allowoverlap:true;o:allowincell:true;mso-position-horizontal-relative:text;margin-left:224.78pt;mso-position-horizontal:absolute;mso-position-vertical-relative:text;margin-top:-31.00pt;mso-position-vertical:absolute;width:35.25pt;height:25.50pt;mso-wrap-distance-left:9.07pt;mso-wrap-distance-top:0.00pt;mso-wrap-distance-right:9.07pt;mso-wrap-distance-bottom:0.00pt;v-text-anchor:top;visibility:visible;" fillcolor="#FFFFFF" strokecolor="#FFFFFF" strokeweight="0.50pt">
                <v:stroke dashstyle="solid"/>
                <v:textbox inset="0,0,0,0">
                  <w:txbxContent>
                    <w:p>
                      <w:r>
                        <w:t xml:space="preserve">2</w: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Таблица 1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Численность и половозрастной состав населения</w:t>
      </w:r>
      <w:r>
        <w:rPr>
          <w:rFonts w:ascii="Times New Roman" w:hAnsi="Times New Roman"/>
          <w:bCs/>
          <w:sz w:val="24"/>
          <w:szCs w:val="24"/>
          <w:highlight w:val="white"/>
        </w:rPr>
      </w:r>
      <w:r>
        <w:rPr>
          <w:rFonts w:ascii="Times New Roman" w:hAnsi="Times New Roman"/>
          <w:bCs/>
          <w:sz w:val="24"/>
          <w:szCs w:val="24"/>
          <w:highlight w:val="white"/>
        </w:rPr>
      </w:r>
    </w:p>
    <w:p>
      <w:pPr>
        <w:ind w:left="360"/>
        <w:jc w:val="center"/>
        <w:spacing w:after="198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Белоярского района на 01.01.2024 го</w:t>
      </w:r>
      <w:r>
        <w:rPr>
          <w:rFonts w:ascii="Times New Roman" w:hAnsi="Times New Roman"/>
          <w:bCs/>
          <w:sz w:val="24"/>
          <w:szCs w:val="24"/>
        </w:rPr>
        <w:t xml:space="preserve">д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Style w:val="738"/>
        <w:tblW w:w="0" w:type="auto"/>
        <w:tblInd w:w="-5" w:type="dxa"/>
        <w:tblLook w:val="04A0" w:firstRow="1" w:lastRow="0" w:firstColumn="1" w:lastColumn="0" w:noHBand="0" w:noVBand="1"/>
      </w:tblPr>
      <w:tblGrid>
        <w:gridCol w:w="1552"/>
        <w:gridCol w:w="1417"/>
        <w:gridCol w:w="1132"/>
        <w:gridCol w:w="1417"/>
        <w:gridCol w:w="1148"/>
        <w:gridCol w:w="1417"/>
        <w:gridCol w:w="1266"/>
      </w:tblGrid>
      <w:tr>
        <w:tblPrEx/>
        <w:trPr/>
        <w:tc>
          <w:tcPr>
            <w:tcW w:w="15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Возраст/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2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Мужчины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2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Женщины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26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человек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от всех мужчин (%)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человек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от всех женщин (%)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человек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от всего населения (%)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0-17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4148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3746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25,9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7894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27,7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18-24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6,8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25-34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1946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13,9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1694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3640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12,8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35-44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2617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2638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18,2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5255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18,5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45-54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2084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14,9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2304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15,9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4388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55-64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1352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1598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11,0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2950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10,4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65-69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497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3,6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1198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4,2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70+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828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1236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4,3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13990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14489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28479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2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024 г</w:t>
      </w:r>
      <w:r>
        <w:rPr>
          <w:rFonts w:ascii="Times New Roman" w:hAnsi="Times New Roman"/>
          <w:bCs/>
          <w:sz w:val="24"/>
          <w:szCs w:val="24"/>
        </w:rPr>
        <w:t xml:space="preserve">од на территории Белоярского района родились 214 детей (75,9% к уровню 2023 года), умерли 207 человек (99% к уровню 2023 года). Рождаемость превысила смертность.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360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Таблица 2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360"/>
        <w:jc w:val="center"/>
        <w:spacing w:after="198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Динамика показателей демографической ситуации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400"/>
        <w:gridCol w:w="1374"/>
        <w:gridCol w:w="1238"/>
        <w:gridCol w:w="1333"/>
      </w:tblGrid>
      <w:tr>
        <w:tblPrEx/>
        <w:trPr>
          <w:trHeight w:val="5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на конец периода,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28 286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%, к соответствующему периоду прошлого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родившихся,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рождаемости, на 1000 среднегодового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умерших,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общей смертности, на 1000 среднегодового населения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Естественный прирост (убыль),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естественного прироста (убыли) населения, на 1000 среднегодового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прибывших,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убывших,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Миграционный прирост (убыль),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2022-2024 годы естественный прирост не превысил миграционного оттока населения, что приводит к сокращению численности населения, проживающего </w:t>
      </w:r>
      <w:r>
        <w:rPr>
          <w:rFonts w:ascii="Times New Roman" w:hAnsi="Times New Roman"/>
          <w:bCs/>
          <w:sz w:val="24"/>
          <w:szCs w:val="24"/>
        </w:rPr>
        <w:t xml:space="preserve">на  территории</w:t>
      </w:r>
      <w:r>
        <w:rPr>
          <w:rFonts w:ascii="Times New Roman" w:hAnsi="Times New Roman"/>
          <w:bCs/>
          <w:sz w:val="24"/>
          <w:szCs w:val="24"/>
        </w:rPr>
        <w:t xml:space="preserve"> Белоярского района. Значитель</w:t>
      </w:r>
      <w:r>
        <w:rPr>
          <w:rFonts w:ascii="Times New Roman" w:hAnsi="Times New Roman"/>
          <w:bCs/>
          <w:sz w:val="24"/>
          <w:szCs w:val="24"/>
        </w:rPr>
        <w:t xml:space="preserve">ный миграционный отток населения объясняется переездом людей старше трудоспособного возраста в районы с более комфортными климатическими условиями. Также наблюдается тенденция снижения рождаемости, что соответствует общероссийской демографической ситуации.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ind w:firstLine="720"/>
        <w:spacing w:after="198"/>
        <w:rPr>
          <w:sz w:val="24"/>
          <w:szCs w:val="24"/>
        </w:rPr>
      </w:pPr>
      <w:r>
        <w:rPr>
          <w:bCs/>
          <w:sz w:val="24"/>
          <w:szCs w:val="24"/>
        </w:rPr>
        <w:t xml:space="preserve">Динамика показателей р</w:t>
      </w:r>
      <w:r>
        <w:rPr>
          <w:sz w:val="24"/>
          <w:szCs w:val="24"/>
        </w:rPr>
        <w:t xml:space="preserve">ождаемости и смертности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период с 2022 по 2024 год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органами ЗАГС зарегистрировано 710 рождения и 566 смерть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Уровень рождаемости за истекшие три года превышал смертность.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right"/>
        <w:shd w:val="clear" w:color="auto" w:fill="ffffff"/>
        <w:rPr>
          <w:color w:val="000000"/>
        </w:rPr>
      </w:pPr>
      <w:r>
        <w:rPr>
          <w:rFonts w:ascii="Times New Roman" w:hAnsi="Times New Roman"/>
          <w:bCs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2852125</wp:posOffset>
                </wp:positionH>
                <wp:positionV relativeFrom="paragraph">
                  <wp:posOffset>-393673</wp:posOffset>
                </wp:positionV>
                <wp:extent cx="447675" cy="32385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47673" cy="323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r>
                              <w:t xml:space="preserve">3</w:t>
                            </w:r>
                            <w:r/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6144;o:allowoverlap:true;o:allowincell:true;mso-position-horizontal-relative:text;margin-left:224.58pt;mso-position-horizontal:absolute;mso-position-vertical-relative:text;margin-top:-31.00pt;mso-position-vertical:absolute;width:35.25pt;height:25.50pt;mso-wrap-distance-left:9.07pt;mso-wrap-distance-top:0.00pt;mso-wrap-distance-right:9.07pt;mso-wrap-distance-bottom:0.00pt;rotation:0;v-text-anchor:top;visibility:visible;" fillcolor="#FFFFFF" strokecolor="#FFFFFF" strokeweight="0.50pt">
                <v:stroke dashstyle="solid"/>
                <v:textbox inset="0,0,0,0">
                  <w:txbxContent>
                    <w:p>
                      <w:r>
                        <w:t xml:space="preserve">3</w:t>
                      </w: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</w:rPr>
        <w:t xml:space="preserve">Таблица 3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jc w:val="center"/>
        <w:spacing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Показатели рождаемости и смертности населения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>
        <w:tblPrEx/>
        <w:trPr>
          <w:cantSplit/>
          <w:trHeight w:val="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Показатели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890"/>
              <w:ind w:right="-260"/>
              <w:jc w:val="center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</w:r>
            <w:r/>
            <w:r>
              <w:rPr>
                <w:color w:val="000000"/>
              </w:rPr>
              <w:t xml:space="preserve">2022 год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2023 год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2024 год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890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Родившихся, человек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170" w:type="dxa"/>
              <w:bottom w:w="0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Style w:val="890"/>
              <w:ind w:right="-142"/>
              <w:jc w:val="center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273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170" w:type="dxa"/>
              <w:bottom w:w="0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Style w:val="890"/>
              <w:ind w:right="10"/>
              <w:jc w:val="center"/>
              <w:spacing w:after="0"/>
              <w:tabs>
                <w:tab w:val="left" w:pos="1620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197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890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Умерших, человек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170" w:type="dxa"/>
              <w:bottom w:w="0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Style w:val="890"/>
              <w:ind w:right="-142"/>
              <w:jc w:val="center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175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198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170" w:type="dxa"/>
              <w:bottom w:w="0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Style w:val="890"/>
              <w:ind w:right="10"/>
              <w:jc w:val="center"/>
              <w:spacing w:after="0"/>
              <w:tabs>
                <w:tab w:val="left" w:pos="1620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193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Несмотря на превышении рождаемо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  <w:r/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сти над смертностью за истекшие три, анализ годовых показателей выявляет снижение рождаемости и относительную стабильность смертности, что приводит к уменьшению естественного прироста населения.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Наблюдается рост рождаемости в 2023 году (273 человека) по сравнению с 2022 годом (240 человек).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375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2024 году происходит значительное снижение рождаемости (197 человек), что является существенным падением по сравнению с предыдущим годом.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Показатели смертности демонстрируют относительную стабильность в период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 2022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по 2024 год, колеблясь в пределах 175-198 человек.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Первые три места среди причин смертности устойчиво занимают болезни системы кровообращения, несчастные случаи, онкологические заболевания.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Смертность населения муниципалитета (данные последних 7 лет в абсолютных и относительных значениях)</w:t>
      </w:r>
      <w:r>
        <w:rPr>
          <w:rFonts w:ascii="Times New Roman" w:hAnsi="Times New Roman" w:cs="Times New Roman"/>
          <w:sz w:val="24"/>
          <w:szCs w:val="24"/>
          <w:lang w:bidi="ru-RU"/>
        </w:rPr>
      </w:r>
      <w:r>
        <w:rPr>
          <w:rFonts w:ascii="Times New Roman" w:hAnsi="Times New Roman" w:cs="Times New Roman"/>
          <w:sz w:val="24"/>
          <w:szCs w:val="24"/>
          <w:lang w:bidi="ru-RU"/>
        </w:rPr>
      </w:r>
    </w:p>
    <w:p>
      <w:pPr>
        <w:jc w:val="right"/>
        <w:shd w:val="clear" w:color="auto" w:fill="ffffff"/>
        <w:rPr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Таблица 4</w:t>
      </w:r>
      <w:r>
        <w:rPr>
          <w:color w:val="000000"/>
        </w:rPr>
      </w:r>
      <w:r>
        <w:rPr>
          <w:color w:val="000000"/>
        </w:rPr>
      </w:r>
    </w:p>
    <w:tbl>
      <w:tblPr>
        <w:tblW w:w="9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352"/>
        <w:gridCol w:w="1181"/>
        <w:gridCol w:w="1441"/>
        <w:gridCol w:w="1129"/>
        <w:gridCol w:w="1417"/>
        <w:gridCol w:w="1082"/>
      </w:tblGrid>
      <w:tr>
        <w:tblPrEx/>
        <w:trPr>
          <w:jc w:val="center"/>
          <w:trHeight w:val="1411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Причины смерти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5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Умерло всего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абс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.), человек и относительный показатель на 1000 населения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5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Женщины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абс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.), человек и относительный показатель на 1000 населения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Мужчины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абс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.), человек и относительный показатель на 1000 населения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  <w:trHeight w:val="274" w:hRule="exact"/>
        </w:trPr>
        <w:tc>
          <w:tcPr>
            <w:shd w:val="clear" w:color="ffffff" w:fill="ffffff"/>
            <w:tcBorders>
              <w:left w:val="single" w:color="000000" w:sz="4" w:space="0"/>
            </w:tcBorders>
            <w:tcW w:w="212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</w:r>
            <w:r>
              <w:rPr>
                <w:b/>
                <w:lang w:bidi="ru-RU"/>
              </w:rPr>
            </w:r>
            <w:r>
              <w:rPr>
                <w:b/>
                <w:lang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2020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2024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2020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2024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2020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2024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  <w:trHeight w:val="56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Всего умерших от всех причин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 190/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193/7,49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72/5,5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71/5,4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118/9,47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122/9,79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8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В том числе, от: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Злокачественных новообразований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39/1,5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44/1,7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19/1,46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18/1,38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20/1,6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26/2,08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Болезней системы кровообращения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9/3,5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66/2,5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31/2,38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21/1,6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59/4,7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45/3,6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Сахарного диабета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11/0.43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17/0,66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6/0,46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11/0,8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5/0,4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6/0,48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Болезней органов дыхания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5" w:leader="none"/>
                <w:tab w:val="center" w:pos="66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ab/>
              <w:t xml:space="preserve">10/0,39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12/0,46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4/0,30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2/0,15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6/0,48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9/0,7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Болезней органов пищеварения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/0,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20/0,7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5/0,38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10/0,76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9/0,7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7/0,56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Внешних причин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4/0,15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19/0,73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2/0,15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4/0,32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17/1,36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Анализ представленных данных о причин</w: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2923857</wp:posOffset>
                </wp:positionH>
                <wp:positionV relativeFrom="paragraph">
                  <wp:posOffset>-418073</wp:posOffset>
                </wp:positionV>
                <wp:extent cx="447675" cy="275050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47674" cy="275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r>
                              <w:t xml:space="preserve">4</w:t>
                            </w:r>
                            <w:r/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6144;o:allowoverlap:true;o:allowincell:true;mso-position-horizontal-relative:text;margin-left:230.22pt;mso-position-horizontal:absolute;mso-position-vertical-relative:text;margin-top:-32.92pt;mso-position-vertical:absolute;width:35.25pt;height:21.66pt;mso-wrap-distance-left:9.07pt;mso-wrap-distance-top:0.00pt;mso-wrap-distance-right:9.07pt;mso-wrap-distance-bottom:0.00pt;rotation:0;v-text-anchor:top;visibility:visible;" fillcolor="#FFFFFF" strokecolor="#FFFFFF" strokeweight="0.50pt">
                <v:stroke dashstyle="solid"/>
                <v:textbox inset="0,0,0,0">
                  <w:txbxContent>
                    <w:p>
                      <w:r>
                        <w:t xml:space="preserve">4</w:t>
                      </w: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ах смерти в 2020 и 2024 годах выявляет ряд сущ</w:t>
      </w:r>
      <w:r>
        <w:rPr>
          <w:rFonts w:ascii="Times New Roman" w:hAnsi="Times New Roman"/>
          <w:sz w:val="24"/>
          <w:szCs w:val="24"/>
        </w:rPr>
        <w:t xml:space="preserve">ественных изменений в структуре смертности населения. Общий уровень смертности остается относительно стабильным, с небольшим увеличением с 7,46 на 1000 населения в 2020 году до 7,49 в 2024 году. Однако внутр</w:t>
      </w:r>
      <w:r>
        <w:rPr>
          <w:rFonts w:ascii="Times New Roman" w:hAnsi="Times New Roman"/>
          <w:sz w:val="24"/>
          <w:szCs w:val="24"/>
        </w:rPr>
        <w:t xml:space="preserve">и этой общей картины наблюдают</w:t>
      </w:r>
      <w:r>
        <w:rPr>
          <w:rFonts w:ascii="Times New Roman" w:hAnsi="Times New Roman"/>
          <w:sz w:val="24"/>
          <w:szCs w:val="24"/>
        </w:rPr>
        <w:t xml:space="preserve">ся заметные сдвиги.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Наиболее значительным изменением является рост смертности от злокачественных новообразований, как среди мужчин, так и среди женщин. Увеличение с 1,5 до 1,7 на 1000 населения свидетельствует о потенциальной необходимости усиления профилактических </w:t>
      </w:r>
      <w:r>
        <w:rPr>
          <w:rFonts w:ascii="Times New Roman" w:hAnsi="Times New Roman"/>
          <w:sz w:val="24"/>
          <w:szCs w:val="24"/>
        </w:rPr>
        <w:t xml:space="preserve">мер и улучшения диагностики онкологических заболеваний. Смертность от болезней системы кровообращения демонстрирует снижение, что может быть результатом улучшения кардиологической помощи и изменения образа жизни населения.</w:t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Обращает на себя внимание увеличение сме</w:t>
      </w:r>
      <w:r>
        <w:rPr>
          <w:rFonts w:ascii="Times New Roman" w:hAnsi="Times New Roman"/>
          <w:sz w:val="24"/>
          <w:szCs w:val="24"/>
        </w:rPr>
        <w:t xml:space="preserve">ртности от сахарного диабета, особенно выраженное среди женщин. Этот факт указывает на необходимость усиления программ по профилактике и контролю диабета, а также повышения осведомленности населения о факторах риска и способах управления этим заболеванием.</w:t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Резкий рост с</w:t>
      </w:r>
      <w:r>
        <w:rPr>
          <w:rFonts w:ascii="Times New Roman" w:hAnsi="Times New Roman"/>
          <w:sz w:val="24"/>
          <w:szCs w:val="24"/>
        </w:rPr>
        <w:t xml:space="preserve">мертности от внешних причин требует особого внимания. Скачок с 0,15 до 0,73 на 1000 населения указывает на возможные проблемы в области безопасности, травматизма и насилия, которые требуют тщательного анализа и разработки эффективных мер по предотвращению.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о смертности от болезней органов дыхания и пищеварения также заслуживают внимания. Небольшое увеличение смертности от болезней органов дыхания может быть связано с эк</w:t>
      </w:r>
      <w:r>
        <w:rPr>
          <w:rFonts w:ascii="Times New Roman" w:hAnsi="Times New Roman"/>
          <w:sz w:val="24"/>
          <w:szCs w:val="24"/>
        </w:rPr>
        <w:t xml:space="preserve">ологическими факторами или изменениями в распространенности респираторных заболеваний. Стабильный уровень смертности от болезней органов пищеварения требует дальнейшего изучения для выявления потенциальных факторов риска и улучшения профилактики и лечения.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Социально-экономические показатели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360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Таблица 5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360"/>
        <w:jc w:val="center"/>
        <w:spacing w:after="19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Показатели занятости населения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911"/>
        <w:gridCol w:w="1371"/>
        <w:gridCol w:w="1371"/>
        <w:gridCol w:w="1692"/>
      </w:tblGrid>
      <w:tr>
        <w:tblPrEx/>
        <w:trPr>
          <w:trHeight w:val="22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bottom"/>
            <w:textDirection w:val="lrTb"/>
            <w:noWrap w:val="false"/>
          </w:tcPr>
          <w:p>
            <w:pPr>
              <w:ind w:firstLine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экономически активного населения, тыс.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bottom"/>
            <w:textDirection w:val="lrTb"/>
            <w:noWrap w:val="false"/>
          </w:tcPr>
          <w:p>
            <w:pPr>
              <w:ind w:firstLine="1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крупных и средних предприятий (организаций), тыс.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bottom"/>
            <w:textDirection w:val="lrTb"/>
            <w:noWrap w:val="false"/>
          </w:tcPr>
          <w:p>
            <w:pPr>
              <w:ind w:firstLine="1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незанятых граждан, состоящих на учёте в центре занятости (на конец отчетного периода),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bottom"/>
            <w:textDirection w:val="lrTb"/>
            <w:noWrap w:val="false"/>
          </w:tcPr>
          <w:p>
            <w:pPr>
              <w:ind w:firstLine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численность официально зарегистрированных безработных,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bottom"/>
            <w:textDirection w:val="lrTb"/>
            <w:noWrap w:val="false"/>
          </w:tcPr>
          <w:p>
            <w:pPr>
              <w:ind w:firstLine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регистрируемой безработицы (на конец периода),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202122"/>
          <w:sz w:val="24"/>
          <w:szCs w:val="24"/>
        </w:rPr>
      </w:r>
      <w:r>
        <w:rPr>
          <w:rFonts w:ascii="Times New Roman" w:hAnsi="Times New Roman" w:cs="Times New Roman"/>
          <w:color w:val="202122"/>
          <w:sz w:val="24"/>
          <w:szCs w:val="24"/>
        </w:rPr>
      </w:r>
      <w:r>
        <w:rPr>
          <w:rFonts w:ascii="Times New Roman" w:hAnsi="Times New Roman" w:cs="Times New Roman"/>
          <w:color w:val="202122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Cs/>
          <w:sz w:val="24"/>
          <w:szCs w:val="24"/>
        </w:rPr>
        <w:t xml:space="preserve">По состоянию на 1 января 2025 года по сравнению с данными на 1 января 2024 года отмечается снижение численности официально зарегистрированных безработных граждан, численность незанятых граждан, состоящих н</w:t>
      </w:r>
      <w:r>
        <w:rPr>
          <w:rFonts w:ascii="Times New Roman" w:hAnsi="Times New Roman"/>
          <w:bCs/>
          <w:sz w:val="24"/>
          <w:szCs w:val="24"/>
        </w:rPr>
        <w:t xml:space="preserve">а учете в центре занятости, без изменений. Напряженность труда снизилась на 0,05 человек на одно рабочее место, коэффициент напряженности на рынке труда составил 0,36 человек на одно рабочее место (на 1 января 2024 года 0,41 человек на одно рабочее место).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highlight w:val="none"/>
        </w:rPr>
      </w:r>
      <w:r>
        <w:rPr>
          <w:rFonts w:ascii="Times New Roman" w:hAnsi="Times New Roman"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2952432</wp:posOffset>
                </wp:positionH>
                <wp:positionV relativeFrom="paragraph">
                  <wp:posOffset>-461678</wp:posOffset>
                </wp:positionV>
                <wp:extent cx="447675" cy="266804"/>
                <wp:effectExtent l="3175" t="3175" r="3175" b="317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47674" cy="266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r>
                              <w:t xml:space="preserve">5</w:t>
                            </w:r>
                            <w:r/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6144;o:allowoverlap:true;o:allowincell:true;mso-position-horizontal-relative:text;margin-left:232.47pt;mso-position-horizontal:absolute;mso-position-vertical-relative:text;margin-top:-36.35pt;mso-position-vertical:absolute;width:35.25pt;height:21.01pt;mso-wrap-distance-left:9.07pt;mso-wrap-distance-top:0.00pt;mso-wrap-distance-right:9.07pt;mso-wrap-distance-bottom:0.00pt;rotation:0;v-text-anchor:top;visibility:visible;" fillcolor="#FFFFFF" strokecolor="#FFFFFF" strokeweight="0.50pt">
                <v:stroke dashstyle="solid"/>
                <v:textbox inset="0,0,0,0">
                  <w:txbxContent>
                    <w:p>
                      <w:r>
                        <w:t xml:space="preserve">5</w:t>
                      </w: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</w:rPr>
        <w:t xml:space="preserve">Таблица 6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567"/>
        <w:jc w:val="center"/>
        <w:spacing w:after="198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Уровень жизни населения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00"/>
        <w:gridCol w:w="1315"/>
        <w:gridCol w:w="1315"/>
        <w:gridCol w:w="1315"/>
      </w:tblGrid>
      <w:tr>
        <w:tblPrEx/>
        <w:trPr>
          <w:trHeight w:val="4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номинальная заработная плата одного работающего крупных и средних предприятий (организаций),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121 713,4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132 721,4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146 470,7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Среднедушевые денежные доходы населения,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62 858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71 186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79 800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размер дохода пенсионера (на конец года; отчетного периода),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28 115,3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32 159,6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35 400,0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среднемесячного дохода и прожиточного минимума пенсионера, %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202122"/>
          <w:sz w:val="24"/>
          <w:szCs w:val="24"/>
        </w:rPr>
      </w:r>
      <w:r>
        <w:rPr>
          <w:rFonts w:ascii="Times New Roman" w:hAnsi="Times New Roman" w:cs="Times New Roman"/>
          <w:color w:val="202122"/>
          <w:sz w:val="24"/>
          <w:szCs w:val="24"/>
        </w:rPr>
      </w:r>
      <w:r>
        <w:rPr>
          <w:rFonts w:ascii="Times New Roman" w:hAnsi="Times New Roman" w:cs="Times New Roman"/>
          <w:color w:val="202122"/>
          <w:sz w:val="24"/>
          <w:szCs w:val="24"/>
        </w:rPr>
      </w:r>
    </w:p>
    <w:p>
      <w:r>
        <w:rPr>
          <w:rFonts w:ascii="Times New Roman" w:hAnsi="Times New Roman"/>
          <w:bCs/>
          <w:sz w:val="24"/>
          <w:szCs w:val="24"/>
        </w:rPr>
        <w:t xml:space="preserve">За 2024 год в сравнении с 2</w:t>
      </w:r>
      <w:r>
        <w:rPr>
          <w:rFonts w:ascii="Times New Roman" w:hAnsi="Times New Roman"/>
          <w:bCs/>
          <w:sz w:val="24"/>
          <w:szCs w:val="24"/>
        </w:rPr>
      </w:r>
      <w:r/>
      <w:r/>
      <w:r/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023 годом среднемесячная заработная плата по сопоставимому кругу крупных и средних предприятий увеличилась на 10,4 %.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Среднемесячная номинальная начисленная заработная плата одного работающего крупных и средних предприятий по Белоярскому району – 146 470,7 рублей, что выше </w:t>
      </w:r>
      <w:r>
        <w:rPr>
          <w:rFonts w:ascii="Times New Roman" w:hAnsi="Times New Roman"/>
          <w:bCs/>
          <w:sz w:val="24"/>
          <w:szCs w:val="24"/>
        </w:rPr>
        <w:t xml:space="preserve">среднеокружного</w:t>
      </w:r>
      <w:r>
        <w:rPr>
          <w:rFonts w:ascii="Times New Roman" w:hAnsi="Times New Roman"/>
          <w:bCs/>
          <w:sz w:val="24"/>
          <w:szCs w:val="24"/>
        </w:rPr>
        <w:t xml:space="preserve"> значения на 17,4 % (124 744 рубля).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Денежные доходы в расчете на одного жителя увеличились на 12,1 %, средний размер дохода пенсионера увеличился на 10,1 %.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  <w:sectPr>
          <w:headerReference w:type="default" r:id="rId11"/>
          <w:headerReference w:type="first" r:id="rId12"/>
          <w:footnotePr/>
          <w:endnotePr/>
          <w:type w:val="nextPage"/>
          <w:pgSz w:w="11906" w:h="16838" w:orient="portrait"/>
          <w:pgMar w:top="850" w:right="850" w:bottom="567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ПРИЛОЖЕНИЕ 2</w:t>
      </w:r>
      <w:r>
        <w:rPr>
          <w:highlight w:val="white"/>
        </w:rPr>
      </w:r>
      <w:r>
        <w:rPr>
          <w:highlight w:val="white"/>
        </w:rPr>
      </w:r>
    </w:p>
    <w:p>
      <w:pPr>
        <w:jc w:val="right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к постановлению администрации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Белоярского района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от _________2025 года № 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 2 к муниципальной программе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П Л А Н   М Е Р О П Р И Я Т И 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реализации муниципальной программы белоярского района «укрепление общественного здоровья жителей белоярского района»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5122"/>
        <w:gridCol w:w="17"/>
        <w:gridCol w:w="2031"/>
        <w:gridCol w:w="28"/>
        <w:gridCol w:w="3299"/>
        <w:gridCol w:w="3543"/>
      </w:tblGrid>
      <w:tr>
        <w:tblPrEx/>
        <w:trPr/>
        <w:tc>
          <w:tcPr>
            <w:tcW w:w="6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Наименование задачи, мероприятия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20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Срок реализации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Критерии исполнения (индикатор)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W w:w="6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6"/>
            <w:tcW w:w="14040" w:type="dxa"/>
            <w:vMerge w:val="restart"/>
            <w:textDirection w:val="lrTb"/>
            <w:noWrap w:val="false"/>
          </w:tcPr>
          <w:p>
            <w:pPr>
              <w:jc w:val="center"/>
              <w:spacing w:after="17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Организационные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Внесение изменений в постановление администрации Белоярского района                             от 5.12.2024 г. № 852 «Об утверждении муниципальной программы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«Укрепление общественного здоровья жителей Белоярского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Управление по охране труда и социальной политике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При изменении параметров финансирования программы, при изменении мероприятий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Осуществление мониторинга реализации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комплексов процессных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мероприятий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Управление по охране труда и социальной политике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Анализ поступающей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от соисполнителей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ffffff" w:fill="ffffff"/>
              </w:rPr>
              <w:t xml:space="preserve">участников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Формирование отчетов о ходе реализации и эффективности мероприятий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Управление по охране труда и социальной политике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Предоставление информации в адрес: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управления экономики, реформ и программ администрации Белоярского района;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Департамента здравоохранения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Ханты-Мансийского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автономного округа – Югры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6"/>
            <w:tcW w:w="14040" w:type="dxa"/>
            <w:vMerge w:val="restart"/>
            <w:textDirection w:val="lrTb"/>
            <w:noWrap w:val="false"/>
          </w:tcPr>
          <w:p>
            <w:pPr>
              <w:jc w:val="center"/>
              <w:spacing w:after="170" w:afterAutospacing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Мероприятия, направленные на повышение грамотности населения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-514323</wp:posOffset>
                      </wp:positionV>
                      <wp:extent cx="447675" cy="323850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447673" cy="323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2</w:t>
                                  </w:r>
                                  <w:r/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202" type="#_x0000_t202" style="position:absolute;z-index:6144;o:allowoverlap:true;o:allowincell:true;mso-position-horizontal-relative:text;margin-left:311.10pt;mso-position-horizontal:absolute;mso-position-vertical-relative:text;margin-top:-40.50pt;mso-position-vertical:absolute;width:35.25pt;height:25.50pt;mso-wrap-distance-left:9.07pt;mso-wrap-distance-top:0.00pt;mso-wrap-distance-right:9.07pt;mso-wrap-distance-bottom:0.00pt;rotation:0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>
                              <w:t xml:space="preserve">2</w:t>
                            </w: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вопросах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  <w:r/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Изготовление, размещение и распространение информационных материалов, направленных на пропаганду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профилактических мероприятий по повышению уровня знаний граждан о здоровом образе жизни и мотивации к отказу от вредных привычек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здоровья» в общеобразовательных учреждениях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6"/>
            <w:tcW w:w="14040" w:type="dxa"/>
            <w:vMerge w:val="restart"/>
            <w:textDirection w:val="lrTb"/>
            <w:noWrap w:val="false"/>
          </w:tcPr>
          <w:p>
            <w:pPr>
              <w:jc w:val="center"/>
              <w:spacing w:after="17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Мероприятия, направленные на повышение физической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и проведение спортивных мероприятий («Лыжня России», «Кросс Нации», Спартакиады среди трудовых коллективов Белоярского района 1, 2 Лига)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Комитет по делам молодежи, физической культуре и спорту,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Количество участников, принявших участие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 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«Здоровый образ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делам молодёжи,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Количество участников,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«Губернаторские состязания» между командами образовательных учреждений Белоярского района, реализующих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администрации Белоярского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делам молодёжи,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дошкольных образовательных учреждений, принявших участие в соревнованиях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3.4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соревнование «Папа, мама, Я – спортивная семья» между командами образовательных учреждений Белоярского района, реализующих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декабре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дошкольных образовательных учреждений, принявших участие в соревнованиях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6"/>
            <w:tcW w:w="14040" w:type="dxa"/>
            <w:vMerge w:val="restart"/>
            <w:textDirection w:val="lrTb"/>
            <w:noWrap w:val="false"/>
          </w:tcPr>
          <w:p>
            <w:pPr>
              <w:jc w:val="center"/>
              <w:spacing w:after="17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Мероприятия, направленные на сокращение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-485748</wp:posOffset>
                      </wp:positionV>
                      <wp:extent cx="447675" cy="323850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447673" cy="323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3</w:t>
                                  </w:r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202" type="#_x0000_t202" style="position:absolute;z-index:6144;o:allowoverlap:true;o:allowincell:true;mso-position-horizontal-relative:text;margin-left:311.10pt;mso-position-horizontal:absolute;mso-position-vertical-relative:text;margin-top:-38.25pt;mso-position-vertical:absolute;width:35.25pt;height:25.50pt;mso-wrap-distance-left:9.07pt;mso-wrap-distance-top:0.00pt;mso-wrap-distance-right:9.07pt;mso-wrap-distance-bottom:0.00pt;rotation:0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>
                              <w:t xml:space="preserve">3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употребления алкоголя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никотиносодержащих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/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«День без табака. Бросай курить», посвященный Международному дню отказа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 курения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 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делам молодёжи,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Количество участников, принявших участие в    мероприятии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лекториев, бесед с молодежью о здоровом образе жизни: «О вреде алкоголя, курения, наркотиков, психотропных веществ», «Вредные привычки и их влияние на 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делам молодёжи,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Количество участников,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бесед, познавательных и игровых программ для детей и молодежи о пагубном влиянии вредных привычек (табакокурение, потребление алкоголя, наркотиков, неправильное питание)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посвящённых Всемирному дню без табака: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«Выбери жизнь без табачного дыма»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«Меняй сигарету на конфету»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беседа «Влияние никотина на здоровье человека»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беседа «Нет табачному дыму!»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«Вне зависимости»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встреча «В гостях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принявших участие в   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посвящённых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еждународному дню борьбы против злоупотребления наркотиками и их незаконного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оборота: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спортивно-развлекательная программа для детей «Будем здоровы»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«Я люблю жизнь»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час «Стиль жизни – Здоровье»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беседа-предупреждение «Опасные заблуждения»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«Спорт. Здоровье. Настроение»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принявших участие в   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pStyle w:val="883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«Каникулам УРА!»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«В поисках лета»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спортивная эстафета «Дети на велосипеде»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afterAutospacing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познавательная программа «Если хочешь быть здоров»</w:t>
            </w:r>
            <w:r/>
            <w:r/>
          </w:p>
          <w:p>
            <w:pPr>
              <w:pStyle w:val="882"/>
              <w:jc w:val="both"/>
              <w:rPr>
                <w:rStyle w:val="8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родительское собрание на тему «Угроза вовлечения несовершеннолетних в различные виды криминальных деяний и ее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профилактика»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Style w:val="8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-476222</wp:posOffset>
                      </wp:positionV>
                      <wp:extent cx="447675" cy="323850"/>
                      <wp:effectExtent l="0" t="0" r="0" b="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447673" cy="323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r/>
                                  <w:r>
                                    <w:t xml:space="preserve">4</w:t>
                                  </w:r>
                                  <w:r/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202" type="#_x0000_t202" style="position:absolute;z-index:6144;o:allowoverlap:true;o:allowincell:true;mso-position-horizontal-relative:text;margin-left:54.15pt;mso-position-horizontal:absolute;mso-position-vertical-relative:text;margin-top:-37.50pt;mso-position-vertical:absolute;width:35.25pt;height:25.50pt;mso-wrap-distance-left:9.07pt;mso-wrap-distance-top:0.00pt;mso-wrap-distance-right:9.07pt;mso-wrap-distance-bottom:0.00pt;rotation:0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/>
                            <w:r>
                              <w:t xml:space="preserve">4</w:t>
                            </w: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Style w:val="89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посвящённых Всероссийскому Дню трезвости: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21"/>
              </w:numPr>
              <w:ind w:left="36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«Будь здоров» </w:t>
            </w:r>
            <w:r/>
          </w:p>
          <w:p>
            <w:pPr>
              <w:pStyle w:val="883"/>
              <w:numPr>
                <w:ilvl w:val="0"/>
                <w:numId w:val="21"/>
              </w:numPr>
              <w:ind w:left="360"/>
              <w:spacing w:after="0" w:afterAutospacing="0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инфо-гид «Чум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21 века»</w:t>
            </w:r>
            <w:r/>
            <w:r/>
          </w:p>
          <w:p>
            <w:pPr>
              <w:pStyle w:val="883"/>
              <w:numPr>
                <w:ilvl w:val="0"/>
                <w:numId w:val="21"/>
              </w:numPr>
              <w:ind w:left="36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маршрутная игра «Тропа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21"/>
              </w:numPr>
              <w:ind w:left="36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«Быть здоровым — это модно!»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21"/>
              </w:numPr>
              <w:ind w:left="36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беседа «День трезвости 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21"/>
              </w:numPr>
              <w:ind w:left="360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совместно с сотрудниками ОМВД «Мы – поколение ЗОЖ!»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3"/>
              <w:numPr>
                <w:ilvl w:val="0"/>
                <w:numId w:val="21"/>
              </w:numPr>
              <w:ind w:left="36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«В мире грез»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  <w:t xml:space="preserve">3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принявших участие в   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акция «Не преступи черту»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ноябре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лекториев, бесед с учащимися о здоровом образе жизни: «О вреде алкоголя, курения, наркотиков, психотропных веществ», «Вредные привычки и их влияние на 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850" w:right="850" w:bottom="56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jc w:val="center"/>
    </w:pPr>
    <w:r>
      <w:t xml:space="preserve">2</w:t>
    </w:r>
    <w:r/>
  </w:p>
  <w:p>
    <w:pPr>
      <w:pStyle w:val="73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jc w:val="center"/>
    </w:pPr>
    <w:r/>
    <w:r/>
    <w:r/>
  </w:p>
  <w:p>
    <w:pPr>
      <w:pStyle w:val="73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02122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02122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02122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02122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02122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02122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02122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02122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02122"/>
        <w:sz w:val="21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13"/>
  </w:num>
  <w:num w:numId="11">
    <w:abstractNumId w:val="9"/>
  </w:num>
  <w:num w:numId="12">
    <w:abstractNumId w:val="3"/>
  </w:num>
  <w:num w:numId="13">
    <w:abstractNumId w:val="8"/>
  </w:num>
  <w:num w:numId="14">
    <w:abstractNumId w:val="0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0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2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3">
    <w:name w:val="Title Char"/>
    <w:basedOn w:val="712"/>
    <w:link w:val="724"/>
    <w:uiPriority w:val="10"/>
    <w:rPr>
      <w:sz w:val="48"/>
      <w:szCs w:val="48"/>
    </w:rPr>
  </w:style>
  <w:style w:type="character" w:styleId="694">
    <w:name w:val="Subtitle Char"/>
    <w:basedOn w:val="712"/>
    <w:link w:val="726"/>
    <w:uiPriority w:val="11"/>
    <w:rPr>
      <w:sz w:val="24"/>
      <w:szCs w:val="24"/>
    </w:rPr>
  </w:style>
  <w:style w:type="character" w:styleId="695">
    <w:name w:val="Quote Char"/>
    <w:link w:val="728"/>
    <w:uiPriority w:val="29"/>
    <w:rPr>
      <w:i/>
    </w:rPr>
  </w:style>
  <w:style w:type="character" w:styleId="696">
    <w:name w:val="Intense Quote Char"/>
    <w:link w:val="730"/>
    <w:uiPriority w:val="30"/>
    <w:rPr>
      <w:i/>
    </w:rPr>
  </w:style>
  <w:style w:type="character" w:styleId="697">
    <w:name w:val="Header Char"/>
    <w:basedOn w:val="712"/>
    <w:link w:val="732"/>
    <w:uiPriority w:val="99"/>
  </w:style>
  <w:style w:type="character" w:styleId="698">
    <w:name w:val="Footer Char"/>
    <w:basedOn w:val="712"/>
    <w:link w:val="734"/>
    <w:uiPriority w:val="99"/>
  </w:style>
  <w:style w:type="character" w:styleId="699">
    <w:name w:val="Caption Char"/>
    <w:basedOn w:val="712"/>
    <w:link w:val="736"/>
    <w:uiPriority w:val="35"/>
    <w:rPr>
      <w:b/>
      <w:bCs/>
      <w:color w:val="4f81bd" w:themeColor="accent1"/>
      <w:sz w:val="18"/>
      <w:szCs w:val="18"/>
    </w:rPr>
  </w:style>
  <w:style w:type="character" w:styleId="700">
    <w:name w:val="Footnote Text Char"/>
    <w:link w:val="865"/>
    <w:uiPriority w:val="99"/>
    <w:rPr>
      <w:sz w:val="18"/>
    </w:rPr>
  </w:style>
  <w:style w:type="character" w:styleId="701">
    <w:name w:val="Endnote Text Char"/>
    <w:link w:val="868"/>
    <w:uiPriority w:val="99"/>
    <w:rPr>
      <w:sz w:val="20"/>
    </w:rPr>
  </w:style>
  <w:style w:type="paragraph" w:styleId="702" w:default="1">
    <w:name w:val="Normal"/>
    <w:qFormat/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702"/>
    <w:next w:val="702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Заголовок Знак"/>
    <w:link w:val="724"/>
    <w:uiPriority w:val="10"/>
    <w:rPr>
      <w:sz w:val="48"/>
      <w:szCs w:val="48"/>
    </w:rPr>
  </w:style>
  <w:style w:type="paragraph" w:styleId="726">
    <w:name w:val="Subtitle"/>
    <w:basedOn w:val="702"/>
    <w:next w:val="702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link w:val="726"/>
    <w:uiPriority w:val="11"/>
    <w:rPr>
      <w:sz w:val="24"/>
      <w:szCs w:val="24"/>
    </w:rPr>
  </w:style>
  <w:style w:type="paragraph" w:styleId="728">
    <w:name w:val="Quote"/>
    <w:basedOn w:val="702"/>
    <w:next w:val="702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2"/>
    <w:next w:val="702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link w:val="732"/>
    <w:uiPriority w:val="99"/>
  </w:style>
  <w:style w:type="paragraph" w:styleId="734">
    <w:name w:val="Footer"/>
    <w:basedOn w:val="702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Нижний колонтитул Знак"/>
    <w:link w:val="734"/>
    <w:uiPriority w:val="99"/>
  </w:style>
  <w:style w:type="paragraph" w:styleId="736">
    <w:name w:val="Caption"/>
    <w:basedOn w:val="702"/>
    <w:next w:val="702"/>
    <w:link w:val="73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37" w:customStyle="1">
    <w:name w:val="Название объекта Знак"/>
    <w:link w:val="736"/>
    <w:uiPriority w:val="35"/>
    <w:rPr>
      <w:b/>
      <w:bCs/>
      <w:color w:val="5b9bd5" w:themeColor="accent1"/>
      <w:sz w:val="18"/>
      <w:szCs w:val="18"/>
    </w:rPr>
  </w:style>
  <w:style w:type="table" w:styleId="738">
    <w:name w:val="Table Grid"/>
    <w:basedOn w:val="71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71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1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71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8" w:customStyle="1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2" w:customStyle="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2" w:customStyle="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 w:customStyle="1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1" w:customStyle="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5" w:customStyle="1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 &amp; 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Bordered &amp; 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Bordered &amp; 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Bordered &amp; 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Bordered &amp; 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Bordered &amp; 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9" w:customStyle="1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3" w:customStyle="1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563c1" w:themeColor="hyperlink"/>
      <w:u w:val="single"/>
    </w:rPr>
  </w:style>
  <w:style w:type="paragraph" w:styleId="865">
    <w:name w:val="footnote text"/>
    <w:basedOn w:val="70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70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702"/>
    <w:next w:val="702"/>
    <w:uiPriority w:val="39"/>
    <w:unhideWhenUsed/>
    <w:pPr>
      <w:spacing w:after="57"/>
    </w:pPr>
  </w:style>
  <w:style w:type="paragraph" w:styleId="872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3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4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5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6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7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8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9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702"/>
    <w:next w:val="702"/>
    <w:uiPriority w:val="99"/>
    <w:unhideWhenUsed/>
    <w:pPr>
      <w:spacing w:after="0"/>
    </w:pPr>
  </w:style>
  <w:style w:type="paragraph" w:styleId="882">
    <w:name w:val="No Spacing"/>
    <w:basedOn w:val="702"/>
    <w:uiPriority w:val="1"/>
    <w:qFormat/>
    <w:pPr>
      <w:spacing w:after="0" w:line="240" w:lineRule="auto"/>
    </w:pPr>
  </w:style>
  <w:style w:type="paragraph" w:styleId="883">
    <w:name w:val="List Paragraph"/>
    <w:basedOn w:val="702"/>
    <w:uiPriority w:val="34"/>
    <w:qFormat/>
    <w:pPr>
      <w:contextualSpacing/>
      <w:ind w:left="720"/>
    </w:pPr>
  </w:style>
  <w:style w:type="paragraph" w:styleId="884" w:customStyle="1">
    <w:name w:val="Заголовок 3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885" w:customStyle="1">
    <w:name w:val="Заголовок 2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paragraph" w:styleId="886" w:customStyle="1">
    <w:name w:val="Заголовок 1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887" w:customStyle="1">
    <w:name w:val="Основной текст с отступом 31"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88" w:customStyle="1">
    <w:name w:val="Обычный (веб)"/>
    <w:uiPriority w:val="99"/>
    <w:pPr>
      <w:spacing w:after="168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889" w:customStyle="1">
    <w:name w:val="Без интервала1"/>
    <w:uiPriority w:val="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  <w:color w:val="000000"/>
      <w:lang w:eastAsia="ru-RU"/>
    </w:rPr>
  </w:style>
  <w:style w:type="paragraph" w:styleId="890" w:customStyle="1">
    <w:name w:val="Основной текст;Табличный;Табличный1;Табличный2;Табличный3;Табличный4;Табличный5;Табличный11;Табличный21;Табличный31;Табличный41;Oaaee?iue;Oaaee?iue1;Oaaee?iue2;Oaaee?iue3;Oaaee?iue4;Oaaee?iue5;Oaaee?iue11;Oaaee?iue21;Oaaee?iue31;Oaaee?iue41;bt"/>
    <w:pPr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1" w:customStyle="1">
    <w:name w:val="Основной текст (2) + 9 pt"/>
    <w:rPr>
      <w:color w:val="000000"/>
      <w:spacing w:val="0"/>
      <w:position w:val="0"/>
      <w:sz w:val="18"/>
      <w:shd w:val="clear" w:color="auto" w:fill="ffffff"/>
      <w:lang w:val="ru-RU" w:eastAsia="ru-RU"/>
    </w:rPr>
  </w:style>
  <w:style w:type="paragraph" w:styleId="892" w:customStyle="1">
    <w:name w:val="Основной текст1"/>
    <w:pPr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jpg"/><Relationship Id="rId15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4%D0%B5%D0%BB%D0%B5%D0%BD%D0%B8%D0%B5_%D0%A5%D0%B0%D0%BD%D1%82%D1%8B-%D0%9C%D0%B0%D0%BD%D1%81%D0%B8%D0%B9%D1%81%D0%BA%D0%BE%D0%B3%D0%BE_%D0%B0%D0%B2%D1%82%D0%BE%D0%BD%D0%BE%D0%BC%D0%BD%D0%BE%D0%B3%D0%BE_%D0%BE%D0%BA%D1%80%D1%83%D0%B3%D0%B0_%E2%80%94_%D0%AE%D0%B3%D1%80%D1%8B" TargetMode="External"/><Relationship Id="rId16" Type="http://schemas.openxmlformats.org/officeDocument/2006/relationships/hyperlink" Target="https://ru.wikipedia.org/wiki/%D0%9E%D0%BA%D1%82%D1%8F%D0%B1%D1%80%D1%8C%D1%81%D0%BA%D0%B8%D0%B9_%D1%80%D0%B0%D0%B9%D0%BE%D0%BD_(%D0%A5%D0%B0%D0%BD%D1%82%D1%8B-%D0%9C%D0%B0%D0%BD%D1%81%D0%B8%D0%B9%D1%81%D0%BA%D0%B8%D0%B9_%D0%B0%D0%B2%D1%82%D0%BE%D0%BD%D0%BE%D0%BC%D0%BD%D1%8B%D0%B9_%D0%BE%D0%BA%D1%80%D1%83%D0%B3)" TargetMode="External"/><Relationship Id="rId17" Type="http://schemas.openxmlformats.org/officeDocument/2006/relationships/hyperlink" Target="https://ru.wikipedia.org/wiki/%D0%A5%D0%B0%D0%BD%D1%82%D1%8B-%D0%9C%D0%B0%D0%BD%D1%81%D0%B8%D0%B9%D1%81%D0%BA%D0%B8%D0%B9_%D1%80%D0%B0%D0%B9%D0%BE%D0%BD" TargetMode="External"/><Relationship Id="rId18" Type="http://schemas.openxmlformats.org/officeDocument/2006/relationships/hyperlink" Target="https://ru.wikipedia.org/wiki/%D0%A1%D1%83%D1%80%D0%B3%D1%83%D1%82%D1%81%D0%BA%D0%B8%D0%B9_%D1%80%D0%B0%D0%B9%D0%BE%D0%BD" TargetMode="External"/><Relationship Id="rId19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4%D0%B5%D0%BB%D0%B5%D0%BD%D0%B8%D0%B5_%D0%AF%D0%BC%D0%B0%D0%BB%D0%BE-%D0%9D%D0%B5%D0%BD%D0%B5%D1%86%D0%BA%D0%BE%D0%B3%D0%BE_%D0%B0%D0%B2%D1%82%D0%BE%D0%BD%D0%BE%D0%BC%D0%BD%D0%BE%D0%B3%D0%BE_%D0%BE%D0%BA%D1%80%D1%83%D0%B3%D0%B0" TargetMode="External"/><Relationship Id="rId20" Type="http://schemas.openxmlformats.org/officeDocument/2006/relationships/hyperlink" Target="https://ru.wikipedia.org/wiki/%D0%9F%D1%80%D0%B8%D1%83%D1%80%D0%B0%D0%BB%D1%8C%D1%81%D0%BA%D0%B8%D0%B9_%D1%80%D0%B0%D0%B9%D0%BE%D0%B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Екатерина Валерьевна</dc:creator>
  <cp:lastModifiedBy>user</cp:lastModifiedBy>
  <cp:revision>5</cp:revision>
  <dcterms:created xsi:type="dcterms:W3CDTF">2025-11-07T09:00:00Z</dcterms:created>
  <dcterms:modified xsi:type="dcterms:W3CDTF">2025-11-13T07:01:59Z</dcterms:modified>
</cp:coreProperties>
</file>