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</w:pPr>
      <w:r/>
      <w:r/>
    </w:p>
    <w:p>
      <w:pPr>
        <w:pStyle w:val="8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ХАНТЫ-МАНСИЙСКИЙ АВТОНОМНЫЙ ОКРУГ - ЮГРА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55"/>
      </w:pPr>
      <w:r/>
      <w:r/>
    </w:p>
    <w:p>
      <w:pPr>
        <w:pStyle w:val="85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55"/>
      </w:pPr>
      <w:r>
        <w:t xml:space="preserve">ПОСТАНОВЛЕНИЕ</w:t>
      </w:r>
      <w:r/>
    </w:p>
    <w:p>
      <w:pPr>
        <w:pStyle w:val="863"/>
      </w:pPr>
      <w:r/>
      <w:r/>
    </w:p>
    <w:p>
      <w:pPr>
        <w:pStyle w:val="863"/>
      </w:pPr>
      <w:r>
        <w:t xml:space="preserve">от 5 декабря </w:t>
      </w:r>
      <w:r>
        <w:t xml:space="preserve">2024 года  </w:t>
        <w:tab/>
        <w:t xml:space="preserve">   </w:t>
        <w:tab/>
        <w:tab/>
        <w:tab/>
        <w:t xml:space="preserve">   </w:t>
        <w:tab/>
        <w:t xml:space="preserve">   </w:t>
        <w:tab/>
        <w:t xml:space="preserve">                                         </w:t>
      </w:r>
      <w:r>
        <w:t xml:space="preserve"> </w:t>
      </w:r>
      <w:r>
        <w:t xml:space="preserve">№ </w:t>
      </w:r>
      <w:r>
        <w:t xml:space="preserve">847</w:t>
      </w:r>
      <w:r/>
    </w:p>
    <w:p>
      <w:pPr>
        <w:pStyle w:val="863"/>
      </w:pPr>
      <w:r/>
      <w:r/>
    </w:p>
    <w:p>
      <w:pPr>
        <w:pStyle w:val="863"/>
      </w:pPr>
      <w:r/>
      <w:r/>
    </w:p>
    <w:p>
      <w:pPr>
        <w:pStyle w:val="863"/>
        <w:rPr>
          <w:rFonts w:eastAsia="SimSun"/>
          <w:b/>
          <w:bCs/>
          <w:color w:val="000000"/>
          <w:szCs w:val="24"/>
          <w:shd w:val="clear" w:color="auto" w:fill="ffffff"/>
        </w:rPr>
      </w:pPr>
      <w:r>
        <w:rPr>
          <w:rFonts w:eastAsia="SimSun"/>
          <w:b/>
          <w:bCs/>
          <w:color w:val="000000"/>
          <w:szCs w:val="24"/>
          <w:shd w:val="clear" w:color="auto" w:fill="ffffff"/>
        </w:rPr>
        <w:t xml:space="preserve">Об утверждении муниципальной программы Белоярского района</w:t>
      </w:r>
      <w:r>
        <w:rPr>
          <w:rFonts w:eastAsia="SimSun"/>
          <w:b/>
          <w:bCs/>
          <w:color w:val="000000"/>
          <w:szCs w:val="24"/>
          <w:shd w:val="clear" w:color="auto" w:fill="ffffff"/>
        </w:rPr>
      </w:r>
      <w:r>
        <w:rPr>
          <w:rFonts w:eastAsia="SimSun"/>
          <w:b/>
          <w:bCs/>
          <w:color w:val="000000"/>
          <w:szCs w:val="24"/>
          <w:shd w:val="clear" w:color="auto" w:fill="ffffff"/>
        </w:rPr>
      </w:r>
    </w:p>
    <w:p>
      <w:pPr>
        <w:pStyle w:val="863"/>
        <w:rPr>
          <w:b/>
          <w:bCs/>
          <w:szCs w:val="24"/>
        </w:rPr>
      </w:pPr>
      <w:r>
        <w:rPr>
          <w:b/>
          <w:bCs/>
          <w:szCs w:val="24"/>
        </w:rPr>
        <w:t xml:space="preserve">«Управление муниципальным имуществом Белоярского района»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pStyle w:val="86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(в редакции постановления администрации Белоярского района 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63"/>
        <w:rPr>
          <w:bCs/>
          <w:i/>
          <w:sz w:val="22"/>
          <w:szCs w:val="22"/>
        </w:rPr>
      </w:pPr>
      <w:r>
        <w:rPr>
          <w:i/>
          <w:sz w:val="22"/>
          <w:szCs w:val="22"/>
        </w:rPr>
        <w:t xml:space="preserve">от 30 апреля 2025 года №279</w:t>
      </w:r>
      <w:r>
        <w:rPr>
          <w:i/>
          <w:sz w:val="22"/>
          <w:szCs w:val="22"/>
        </w:rPr>
        <w:t xml:space="preserve">, от 15 мая 2025 года №304</w:t>
      </w:r>
      <w:r>
        <w:rPr>
          <w:i/>
          <w:sz w:val="22"/>
          <w:szCs w:val="22"/>
        </w:rPr>
        <w:t xml:space="preserve">, от 23 мая 2025 года</w:t>
      </w:r>
      <w:r>
        <w:rPr>
          <w:i/>
          <w:sz w:val="22"/>
          <w:szCs w:val="22"/>
        </w:rPr>
        <w:t xml:space="preserve"> №335,</w:t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pStyle w:val="863"/>
        <w:rPr>
          <w:bCs/>
          <w:i/>
          <w:sz w:val="22"/>
          <w:szCs w:val="22"/>
        </w:rPr>
      </w:pPr>
      <w:r>
        <w:rPr>
          <w:i/>
          <w:sz w:val="22"/>
          <w:szCs w:val="22"/>
        </w:rPr>
        <w:t xml:space="preserve">от 5 июня 2025 года №364, от 09 декабря 2025 года №814, от 26 декабря 2025 года №897, </w:t>
      </w:r>
      <w:r>
        <w:rPr>
          <w:b/>
          <w:bCs/>
          <w:sz w:val="22"/>
          <w:szCs w:val="22"/>
        </w:rPr>
      </w:r>
    </w:p>
    <w:p>
      <w:pPr>
        <w:pStyle w:val="863"/>
        <w:rPr>
          <w:b/>
          <w:bCs/>
          <w:sz w:val="22"/>
          <w:szCs w:val="22"/>
        </w:rPr>
      </w:pPr>
      <w:r>
        <w:rPr>
          <w:i/>
          <w:sz w:val="22"/>
          <w:szCs w:val="22"/>
        </w:rPr>
        <w:t xml:space="preserve">от 28 января 2026 года №63</w:t>
      </w:r>
      <w:r>
        <w:rPr>
          <w:i/>
          <w:sz w:val="22"/>
          <w:szCs w:val="22"/>
        </w:rPr>
        <w:t xml:space="preserve">)</w:t>
      </w:r>
      <w:r>
        <w:rPr>
          <w:b/>
          <w:bCs/>
          <w:sz w:val="22"/>
          <w:szCs w:val="22"/>
        </w:rPr>
      </w:r>
      <w:r/>
    </w:p>
    <w:p>
      <w:pPr>
        <w:pStyle w:val="874"/>
        <w:ind w:firstLine="709"/>
      </w:pPr>
      <w:r/>
      <w:r/>
    </w:p>
    <w:p>
      <w:pPr>
        <w:pStyle w:val="874"/>
        <w:ind w:firstLine="709"/>
      </w:pPr>
      <w:r/>
      <w:r/>
    </w:p>
    <w:p>
      <w:pPr>
        <w:pStyle w:val="874"/>
        <w:ind w:firstLine="709"/>
      </w:pPr>
      <w:r/>
      <w:r/>
    </w:p>
    <w:p>
      <w:pPr>
        <w:pStyle w:val="871"/>
        <w:ind w:firstLine="660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Белоярского района от 3 сентября 2018 года № 776 «Об утверждении Порядка </w:t>
      </w:r>
      <w:r>
        <w:rPr>
          <w:rFonts w:ascii="Times New Roman" w:hAnsi="Times New Roman" w:cs="Times New Roman"/>
          <w:sz w:val="24"/>
          <w:szCs w:val="24"/>
        </w:rPr>
        <w:t xml:space="preserve">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«О Перечне муниципальных программ Белоярского района» п о с т а н о в л я 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Утвердить прилагаемую муниципальную программу Белоярского района «</w:t>
      </w:r>
      <w:r>
        <w:rPr>
          <w:sz w:val="24"/>
          <w:szCs w:val="24"/>
        </w:rPr>
        <w:t xml:space="preserve">Управление муниципальным имуществом Белоярского района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4"/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Опубликовать настоящее постановление в газете «Белоярские вести. Официальный выпуск».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4"/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Настоящее постановление вступает в силу после официального опубликования, но не ранее 1 января 2025 года.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4"/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Контроль за выполнением постановления возложить на заместителя главы Белоярского района Ващука В.А.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1"/>
        <w:ind w:firstLine="0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С.П.</w:t>
      </w:r>
      <w:r>
        <w:rPr>
          <w:rFonts w:ascii="Times New Roman" w:hAnsi="Times New Roman" w:cs="Times New Roman"/>
          <w:sz w:val="24"/>
          <w:szCs w:val="24"/>
        </w:rPr>
        <w:t xml:space="preserve">Маненков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986" w:bottom="993" w:left="1320" w:header="709" w:footer="709" w:gutter="0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5 декабря 2024 года № 847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«Управление муниципальным имуществом Белоярского района»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Белоярского района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 w:bidi="ar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 w:bidi="ar"/>
        </w:rPr>
      </w:r>
    </w:p>
    <w:p>
      <w:pPr>
        <w:pStyle w:val="871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4"/>
        <w:numPr>
          <w:ilvl w:val="0"/>
          <w:numId w:val="2"/>
        </w:num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Основные положения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54"/>
        <w:ind w:left="72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</w:r>
      <w:r>
        <w:rPr>
          <w:rFonts w:eastAsia="Calibri"/>
          <w:sz w:val="24"/>
          <w:szCs w:val="24"/>
          <w:lang w:val="en-US"/>
        </w:rPr>
      </w:r>
      <w:r>
        <w:rPr>
          <w:rFonts w:eastAsia="Calibri"/>
          <w:sz w:val="24"/>
          <w:szCs w:val="24"/>
          <w:lang w:val="en-US"/>
        </w:rPr>
      </w:r>
    </w:p>
    <w:tbl>
      <w:tblPr>
        <w:tblW w:w="15256" w:type="dxa"/>
        <w:tblInd w:w="-131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712"/>
        <w:gridCol w:w="8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Куратор муниципальной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главы Белоярского района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Ответственный исполнитель муниципальной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 муниципальной собственности администрации Белоярского района (далее – КМС)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Период реализации муниципальной программы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2025-2030 годы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Цели муниципальной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эффективной системы управления муниципальным имуществом,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Направления (подпрограммы) муниципальной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eastAsia="zh-CN" w:bidi="ar"/>
              </w:rPr>
              <w:t xml:space="preserve">309 526,3</w:t>
            </w:r>
            <w:r>
              <w:rPr>
                <w:rFonts w:eastAsia="Calibri"/>
                <w:sz w:val="24"/>
                <w:szCs w:val="24"/>
              </w:rPr>
              <w:t xml:space="preserve"> т</w:t>
            </w:r>
            <w:r>
              <w:rPr>
                <w:rFonts w:eastAsia="Calibri"/>
                <w:sz w:val="24"/>
                <w:szCs w:val="24"/>
              </w:rPr>
              <w:t xml:space="preserve">ысяч рублей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Реализация потенциала каждого человека, развитие его талантов, воспитание патриотичной и социально ответственной личности: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Показатель «увеличение к 2030 году доли молодых людей, верящих в возможности самореализации в России, не менее чем до 85 процентов».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Государственная программа Ханты-Мансийского автономного округа – Югры «Пространственное развитие и формирование комфортной городской среды».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Государственная программа Ханты-Мансийского автономного округа - Югры «Развитие гражданского общества»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pStyle w:val="854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54"/>
        <w:numPr>
          <w:ilvl w:val="0"/>
          <w:numId w:val="2"/>
        </w:numPr>
        <w:jc w:val="center"/>
        <w:pageBreakBefore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Показатели муниципальной программы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54"/>
        <w:ind w:left="35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tbl>
      <w:tblPr>
        <w:tblW w:w="15361" w:type="dxa"/>
        <w:tblInd w:w="-8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"/>
        <w:gridCol w:w="2141"/>
        <w:gridCol w:w="983"/>
        <w:gridCol w:w="995"/>
        <w:gridCol w:w="756"/>
        <w:gridCol w:w="762"/>
        <w:gridCol w:w="805"/>
        <w:gridCol w:w="682"/>
        <w:gridCol w:w="722"/>
        <w:gridCol w:w="791"/>
        <w:gridCol w:w="846"/>
        <w:gridCol w:w="2146"/>
        <w:gridCol w:w="1609"/>
        <w:gridCol w:w="1560"/>
      </w:tblGrid>
      <w:tr>
        <w:tblPrEx/>
        <w:trPr>
          <w:trHeight w:val="88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N п/п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Наименование показателя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Единица измерения (по ОКЕИ) 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gridSpan w:val="2"/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Базовое значение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gridSpan w:val="6"/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460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Значение показателя по годам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Документ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fldChar w:fldCharType="begin"/>
            </w:r>
            <w:r>
              <w:rPr>
                <w:rFonts w:eastAsia="SimSun"/>
                <w:szCs w:val="18"/>
                <w:lang w:val="en-US" w:eastAsia="zh-CN" w:bidi="ar"/>
              </w:rPr>
              <w:instrText xml:space="preserve"> HYPERLINK "" \l "_ftn3" </w:instrText>
            </w:r>
            <w:r>
              <w:rPr>
                <w:rFonts w:eastAsia="SimSun"/>
                <w:szCs w:val="18"/>
                <w:lang w:val="en-US" w:eastAsia="zh-CN" w:bidi="ar"/>
              </w:rPr>
              <w:fldChar w:fldCharType="separate"/>
            </w:r>
            <w:r>
              <w:rPr>
                <w:szCs w:val="18"/>
                <w:lang w:val="en-US" w:eastAsia="zh-CN" w:bidi="ar"/>
              </w:rPr>
              <w:t xml:space="preserve">Ответственный за достижение показателя</w:t>
            </w:r>
            <w:r>
              <w:rPr>
                <w:rFonts w:eastAsia="SimSun"/>
                <w:szCs w:val="18"/>
                <w:lang w:val="en-US" w:eastAsia="zh-CN" w:bidi="ar"/>
              </w:rPr>
              <w:fldChar w:fldCharType="end"/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fldChar w:fldCharType="begin"/>
            </w:r>
            <w:r>
              <w:rPr>
                <w:color w:val="000000"/>
                <w:szCs w:val="18"/>
              </w:rPr>
              <w:instrText xml:space="preserve"> HYPERLINK "" \l "_ftn4" </w:instrText>
            </w:r>
            <w:r>
              <w:rPr>
                <w:color w:val="000000"/>
                <w:szCs w:val="18"/>
              </w:rPr>
              <w:fldChar w:fldCharType="separate"/>
            </w:r>
            <w:r>
              <w:rPr>
                <w:color w:val="000000"/>
                <w:szCs w:val="18"/>
              </w:rPr>
              <w:t xml:space="preserve">Связь с показателями национальных целей</w:t>
            </w:r>
            <w:r>
              <w:rPr>
                <w:color w:val="000000"/>
                <w:szCs w:val="18"/>
              </w:rPr>
              <w:fldChar w:fldCharType="end"/>
            </w:r>
            <w:r>
              <w:rPr>
                <w:color w:val="000000"/>
                <w:szCs w:val="18"/>
              </w:rPr>
            </w:r>
            <w:r>
              <w:rPr>
                <w:color w:val="000000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vMerge w:val="continue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center"/>
            <w:vMerge w:val="continue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vMerge w:val="continue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значение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год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2026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2027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2028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2029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2030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right w:val="single" w:color="3F3F3F" w:sz="2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right w:val="single" w:color="3F3F3F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right w:val="single" w:color="3F3F3F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Cs w:val="18"/>
              </w:rPr>
            </w:pPr>
            <w:r>
              <w:rPr>
                <w:szCs w:val="18"/>
              </w:rPr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3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6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7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8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9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11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12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13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Cs w:val="18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14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</w:tr>
      <w:tr>
        <w:tblPrEx/>
        <w:trPr>
          <w:trHeight w:val="620"/>
        </w:trPr>
        <w:tc>
          <w:tcPr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36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Цель «Формирование эффективной системы управления муниципальным имуществом,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имущества»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</w:tr>
      <w:tr>
        <w:tblPrEx/>
        <w:trPr>
          <w:trHeight w:val="197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bottom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Доля используемого недвижимого имущества в общем количестве недвижимого имущества, находящимся в муниципальной собственности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процент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Решение Думы Белоярского района  от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КМС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Cs w:val="18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-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</w:tr>
      <w:tr>
        <w:tblPrEx/>
        <w:trPr>
          <w:trHeight w:val="107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Доля ошибок в сведениях единого государственного реестра недвижимости в общем количестве земельных участков 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процент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1,4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Федеральный закон от 13.07.2015 № 218-ФЗ «О государственной регистрации недвижимости»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КМС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Cs w:val="18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-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</w:tr>
      <w:tr>
        <w:tblPrEx/>
        <w:trPr>
          <w:trHeight w:val="21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3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Общее количество объектов недвижимости без границ после проведения комплексных кадастровых работ на территории кадастрового квартала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единиц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1796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Федеральный закон от 24.07.2007 № 221-ФЗ «О кадастровой деятельности»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КМС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-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</w:tr>
      <w:tr>
        <w:tblPrEx/>
        <w:trPr>
          <w:trHeight w:val="87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Количество земельных участков, поставленных на кадастровый учет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единиц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6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2023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«Земельный кодекс Российской Федерации» от 25.10.2001 № 136-ФЗ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КМС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Cs w:val="18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-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</w:tr>
      <w:tr>
        <w:tblPrEx/>
        <w:trPr>
          <w:trHeight w:val="225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5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center"/>
            <w:textDirection w:val="lrTb"/>
            <w:noWrap w:val="false"/>
          </w:tcPr>
          <w:p>
            <w:pPr>
              <w:pStyle w:val="854"/>
              <w:rPr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инициативных проектов, реализованных с привлечением средств бюджета Ханты-Мансийского автономного округа – Югры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единиц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2024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1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 xml:space="preserve">Постановление Правительства ХМАО - Югры от 10.11.2023г. №546-п «О государственной программе Ханты-Мансийского автономного округа - Югры «Развитие гражданского общества»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КМС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szCs w:val="18"/>
              </w:rPr>
              <w:t xml:space="preserve">увеличение к 2030 году доли молодых людей, верящих в возможности самореализации в России, не менее чем до 85 процентов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</w:tr>
    </w:tbl>
    <w:p>
      <w:pPr>
        <w:pStyle w:val="854"/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54"/>
        <w:numPr>
          <w:ilvl w:val="0"/>
          <w:numId w:val="2"/>
        </w:numPr>
        <w:ind w:left="714" w:hanging="357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Структура муниципальной программы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54"/>
        <w:ind w:left="71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tbl>
      <w:tblPr>
        <w:tblW w:w="15453" w:type="dxa"/>
        <w:tblInd w:w="-17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4045"/>
        <w:gridCol w:w="5770"/>
        <w:gridCol w:w="4678"/>
      </w:tblGrid>
      <w:tr>
        <w:tblPrEx/>
        <w:trPr>
          <w:trHeight w:val="72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N</w:t>
            </w:r>
            <w:r>
              <w:rPr>
                <w:rFonts w:eastAsia="SimSun"/>
                <w:lang w:eastAsia="zh-CN" w:bidi="ar"/>
              </w:rPr>
              <w:t xml:space="preserve"> п/п</w:t>
            </w:r>
            <w:r/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eastAsia="zh-CN" w:bidi="ar"/>
              </w:rPr>
              <w:t xml:space="preserve">Задачи структурного элемента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</w:pPr>
            <w:r>
              <w:rPr>
                <w:rFonts w:eastAsia="SimSun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eastAsia="zh-CN" w:bidi="ar"/>
              </w:rPr>
              <w:t xml:space="preserve">Связь с </w:t>
            </w:r>
            <w:r>
              <w:rPr>
                <w:rFonts w:eastAsia="SimSun"/>
                <w:lang w:val="en-US" w:eastAsia="zh-CN" w:bidi="ar"/>
              </w:rPr>
              <w:t xml:space="preserve">показателями</w:t>
            </w:r>
            <w:r/>
          </w:p>
        </w:tc>
      </w:tr>
      <w:tr>
        <w:tblPrEx/>
        <w:trPr>
          <w:trHeight w:val="287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4</w:t>
            </w:r>
            <w:r/>
          </w:p>
        </w:tc>
      </w:tr>
      <w:tr>
        <w:tblPrEx/>
        <w:trPr>
          <w:trHeight w:val="33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4493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Региональный проект «Национальная система пространственных данных»</w:t>
            </w:r>
            <w:r/>
          </w:p>
        </w:tc>
      </w:tr>
      <w:tr>
        <w:tblPrEx/>
        <w:trPr>
          <w:trHeight w:val="42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Ответственный за реализацию:  КМС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eastAsia="SimSun"/>
                <w:lang w:eastAsia="zh-CN" w:bidi="ar"/>
              </w:rPr>
              <w:t xml:space="preserve"> </w:t>
            </w:r>
            <w:r>
              <w:t xml:space="preserve">годы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4678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</w:tr>
      <w:tr>
        <w:tblPrEx/>
        <w:trPr>
          <w:trHeight w:val="109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top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1.1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Повышение эффективности муниципального управления в сфере имущественных и земельных отношений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Выполнение комплексных кадастровых работ, в том чис</w:t>
            </w:r>
            <w:r>
              <w:rPr>
                <w:rFonts w:eastAsia="SimSun"/>
                <w:lang w:eastAsia="zh-CN" w:bidi="ar"/>
              </w:rPr>
              <w:t xml:space="preserve">ле:</w:t>
              <w:br/>
              <w:t xml:space="preserve">- уточнение местоположения границ земельных участков;</w:t>
              <w:br/>
              <w:t xml:space="preserve">-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 июля 2007 года </w:t>
            </w:r>
            <w:r>
              <w:rPr>
                <w:rFonts w:eastAsia="SimSun"/>
                <w:lang w:val="en-US" w:eastAsia="zh-CN" w:bidi="ar"/>
              </w:rPr>
              <w:t xml:space="preserve">N</w:t>
            </w:r>
            <w:r>
              <w:rPr>
                <w:rFonts w:eastAsia="SimSun"/>
                <w:lang w:eastAsia="zh-CN" w:bidi="ar"/>
              </w:rPr>
              <w:t xml:space="preserve"> 221-ФЗ «О кадастровой деятельности»;</w:t>
              <w:br w:type="textWrapping" w:clear="all"/>
              <w:t xml:space="preserve">- образование земельных участков, н</w:t>
            </w:r>
            <w:r>
              <w:rPr>
                <w:rFonts w:eastAsia="SimSun"/>
                <w:lang w:eastAsia="zh-CN" w:bidi="ar"/>
              </w:rPr>
              <w:t xml:space="preserve">а которых расположены здания, в том числе многоквартирные дома, сооружения, за исключением сооружений, являющихся линейными объектами;</w:t>
              <w:br/>
              <w:t xml:space="preserve">- образование земельных участков общего пользования, занятых площадями, улицами, проездами, набережными, скверами, бульва</w:t>
            </w:r>
            <w:r>
              <w:rPr>
                <w:rFonts w:eastAsia="SimSun"/>
                <w:lang w:eastAsia="zh-CN" w:bidi="ar"/>
              </w:rPr>
              <w:t xml:space="preserve">рами, водными объектами, пляжами и другими объектами;</w:t>
              <w:br/>
              <w:t xml:space="preserve">-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eastAsia="zh-CN" w:bidi="ar"/>
              </w:rPr>
              <w:t xml:space="preserve">Доля ошибок в сведениях единого государственного реестра недвижимости в общем количестве земельных участков </w:t>
            </w: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</w:p>
          <w:p>
            <w:pPr>
              <w:pStyle w:val="854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</w:p>
          <w:p>
            <w:pPr>
              <w:pStyle w:val="854"/>
            </w:pPr>
            <w:r>
              <w:t xml:space="preserve">Общее количество объектов недвижимости без границ после проведения комплексных кадастровых работ на территории кадастрового квартала</w:t>
            </w:r>
            <w:r/>
          </w:p>
        </w:tc>
      </w:tr>
      <w:tr>
        <w:tblPrEx/>
        <w:trPr>
          <w:trHeight w:val="28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854"/>
              <w:jc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eastAsia="zh-CN" w:bidi="ar"/>
              </w:rPr>
              <w:t xml:space="preserve">2</w:t>
            </w: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4493" w:type="dxa"/>
            <w:vAlign w:val="bottom"/>
            <w:textDirection w:val="lrTb"/>
            <w:noWrap/>
          </w:tcPr>
          <w:p>
            <w:pPr>
              <w:pStyle w:val="854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eastAsia="zh-CN" w:bidi="ar"/>
              </w:rPr>
              <w:t xml:space="preserve">Региональный проект</w:t>
            </w:r>
            <w:r>
              <w:rPr>
                <w:rFonts w:eastAsia="SimSun"/>
                <w:lang w:eastAsia="zh-CN" w:bidi="ar"/>
              </w:rPr>
              <w:t xml:space="preserve"> «Развитие экосистемы поддержки гражданских инициатив»</w:t>
            </w: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Ответственный за реализацию:  КМС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eastAsia="SimSun"/>
                <w:lang w:eastAsia="zh-CN" w:bidi="ar"/>
              </w:rPr>
              <w:t xml:space="preserve"> </w:t>
            </w:r>
            <w:r>
              <w:t xml:space="preserve">годы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</w:tr>
      <w:tr>
        <w:tblPrEx/>
        <w:trPr>
          <w:trHeight w:val="4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t xml:space="preserve">2.1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Обеспечение реализации инициативных проектов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  <w:rPr>
                <w:rFonts w:eastAsia="SimSun"/>
                <w:lang w:eastAsia="zh-CN" w:bidi="ar"/>
              </w:rPr>
            </w:pPr>
            <w:r>
              <w:t xml:space="preserve">Реализация инициативных проектов граждан  в сфере благоустройства г.п.Белоярский, получивших поддержку по итогам регионального конкурса инициативных проектов.</w:t>
            </w: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top"/>
            <w:textDirection w:val="lrTb"/>
            <w:noWrap/>
          </w:tcPr>
          <w:p>
            <w:pPr>
              <w:pStyle w:val="854"/>
            </w:pPr>
            <w:r>
              <w:t xml:space="preserve">Количество инициативных проектов, реализованных с привлечением средств бюджета Ханты-Мансийского автономного округа – Югры</w:t>
            </w:r>
            <w:r/>
          </w:p>
        </w:tc>
      </w:tr>
      <w:tr>
        <w:tblPrEx/>
        <w:trPr>
          <w:trHeight w:val="4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t xml:space="preserve">3</w:t>
            </w:r>
            <w:r/>
          </w:p>
        </w:tc>
        <w:tc>
          <w:tcPr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493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Комплекс процессных мероприятий «Управление и распоряжение муниципальным имуществом»</w:t>
            </w:r>
            <w:r/>
          </w:p>
        </w:tc>
      </w:tr>
      <w:tr>
        <w:tblPrEx/>
        <w:trPr>
          <w:trHeight w:val="4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Ответственный за реализацию:  КМС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eastAsia="SimSun"/>
                <w:lang w:eastAsia="zh-CN" w:bidi="ar"/>
              </w:rPr>
              <w:t xml:space="preserve"> </w:t>
            </w:r>
            <w:r>
              <w:t xml:space="preserve">годы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</w:tr>
      <w:tr>
        <w:tblPrEx/>
        <w:trPr>
          <w:trHeight w:val="10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8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3.1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Совершенствование системы управления муниципальным имуществом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и распоряжение муниципальным имуществом.</w:t>
              <w:br w:type="textWrapping" w:clear="all"/>
              <w:t xml:space="preserve">Обеспечение надлежащего уровня эксплуа</w:t>
            </w:r>
            <w:r>
              <w:rPr>
                <w:rFonts w:ascii="Times New Roman" w:hAnsi="Times New Roman"/>
                <w:lang w:eastAsia="ru-RU"/>
              </w:rPr>
              <w:t xml:space="preserve">тации муниципального имущества.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Доля используемого недвижимого имущества в общем количестве недвижимого имущества, находящимс</w:t>
            </w:r>
            <w:r>
              <w:rPr>
                <w:rFonts w:ascii="Times New Roman" w:hAnsi="Times New Roman"/>
                <w:lang w:eastAsia="ru-RU"/>
              </w:rPr>
              <w:t xml:space="preserve">я в муниципальной собственности.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t xml:space="preserve">4</w:t>
            </w:r>
            <w:r/>
          </w:p>
        </w:tc>
        <w:tc>
          <w:tcPr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4493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Комплекс процессных мероприятий «Управление и распоряжение земельными участками, находящимися в муниципальной собственности»</w:t>
            </w:r>
            <w:r/>
          </w:p>
        </w:tc>
      </w:tr>
      <w:tr>
        <w:tblPrEx/>
        <w:trPr>
          <w:trHeight w:val="26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bottom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Ответственный за реализацию:  КМС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eastAsia="SimSun"/>
                <w:lang w:eastAsia="zh-CN" w:bidi="ar"/>
              </w:rPr>
              <w:t xml:space="preserve"> </w:t>
            </w:r>
            <w:r>
              <w:t xml:space="preserve">годы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/>
            <w:r/>
          </w:p>
        </w:tc>
      </w:tr>
      <w:tr>
        <w:tblPrEx/>
        <w:trPr>
          <w:trHeight w:val="6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eastAsia="zh-CN" w:bidi="ar"/>
              </w:rPr>
              <w:t xml:space="preserve">4</w:t>
            </w:r>
            <w:r>
              <w:rPr>
                <w:rFonts w:eastAsia="SimSun"/>
                <w:lang w:val="en-US" w:eastAsia="zh-CN" w:bidi="ar"/>
              </w:rPr>
              <w:t xml:space="preserve">.1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Совершенствование системы управления муниципальным имуществом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Управление и распоряжение земельными участками, находящимися в государственной и муниципальной собственности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Количество земельных участков, поставленных на кадастровый учет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854"/>
              <w:jc w:val="center"/>
            </w:pPr>
            <w:r>
              <w:t xml:space="preserve">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93" w:type="dxa"/>
            <w:vAlign w:val="bottom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Комплекс процессных мероприятий «Обеспечение деятельности органов местного самоуправления Белоярского района»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bottom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Ответственный за реализацию:  КМС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eastAsia="SimSun"/>
                <w:lang w:eastAsia="zh-CN" w:bidi="ar"/>
              </w:rPr>
              <w:t xml:space="preserve"> </w:t>
            </w:r>
            <w:r>
              <w:t xml:space="preserve">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/>
            <w:r/>
          </w:p>
        </w:tc>
      </w:tr>
      <w:tr>
        <w:tblPrEx/>
        <w:trPr>
          <w:trHeight w:val="84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eastAsia="zh-CN" w:bidi="ar"/>
              </w:rPr>
              <w:t xml:space="preserve">5</w:t>
            </w:r>
            <w:r>
              <w:rPr>
                <w:rFonts w:eastAsia="SimSun"/>
                <w:lang w:val="en-US" w:eastAsia="zh-CN" w:bidi="ar"/>
              </w:rPr>
              <w:t xml:space="preserve">.1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Обеспечение функций  и полномочий управления муниципальным имуществом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Обеспечение деятельности Комитета муниципальной собственности администрации Белоярского района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-</w:t>
            </w:r>
            <w:r/>
          </w:p>
        </w:tc>
      </w:tr>
    </w:tbl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numPr>
          <w:ilvl w:val="0"/>
          <w:numId w:val="2"/>
        </w:numPr>
        <w:jc w:val="center"/>
        <w:pageBreakBefore/>
        <w:rPr>
          <w:sz w:val="24"/>
          <w:szCs w:val="24"/>
        </w:rPr>
      </w:pPr>
      <w:r>
        <w:rPr>
          <w:sz w:val="24"/>
          <w:szCs w:val="24"/>
        </w:rPr>
        <w:t xml:space="preserve">Финансовое обеспечение муниципальной программы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7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10"/>
        <w:tblW w:w="0" w:type="auto"/>
        <w:tblLayout w:type="fixed"/>
        <w:tblLook w:val="04A0" w:firstRow="1" w:lastRow="0" w:firstColumn="1" w:lastColumn="0" w:noHBand="0" w:noVBand="1"/>
      </w:tblPr>
      <w:tblGrid>
        <w:gridCol w:w="746"/>
        <w:gridCol w:w="746"/>
        <w:gridCol w:w="746"/>
        <w:gridCol w:w="746"/>
        <w:gridCol w:w="746"/>
        <w:gridCol w:w="746"/>
        <w:gridCol w:w="864"/>
        <w:gridCol w:w="1295"/>
        <w:gridCol w:w="1295"/>
        <w:gridCol w:w="1295"/>
        <w:gridCol w:w="1295"/>
        <w:gridCol w:w="1295"/>
        <w:gridCol w:w="1295"/>
        <w:gridCol w:w="1493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64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  <w:r/>
          </w:p>
        </w:tc>
      </w:tr>
      <w:tr>
        <w:tblPrEx/>
        <w:trPr>
          <w:trHeight w:val="5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«Управление муниципальным имуществом Белоярского района»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68 034,1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75 570,4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41 318,6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41 595,6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41 503,8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41 503,8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309 526,3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6 921,9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10 248,4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61 112,2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72 243,9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41 318,6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41 595,6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41 503,8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41 503,8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299 277,9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</w:tr>
      <w:tr>
        <w:tblPrEx/>
        <w:trPr>
          <w:trHeight w:val="5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"Национальная система пространственных данных"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2 643,5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3 360,1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6 003,6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2 405,5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5 732,0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238,0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33,6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271,6</w:t>
            </w:r>
            <w:r/>
            <w:r/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1.1.</w:t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"Выполнение комплексных кадастровых работ"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2 643,5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3 360,1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6 003,6</w:t>
            </w: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2 405,5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5 732,0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238,0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33,6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271,6</w:t>
            </w:r>
            <w:r/>
            <w:r/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«Развитие экосистемы поддержки гражданских инициатив»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  <w:r/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2.1.</w:t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"Реализация инициативных проектов в сфере благоустройства городского поселения Белоярский"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  <w:r/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"Управление и распоряжение муниципальным имуществом"</w:t>
              <w:br/>
              <w:t xml:space="preserve">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25 708,2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38 425,6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8 099,6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8 376,6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8 284,8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8 284,8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97 179,6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25 708,2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38 425,6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8 099,6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8 376,6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8 284,8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8 284,8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97 179,6</w:t>
            </w:r>
            <w:r/>
            <w:r/>
          </w:p>
        </w:tc>
      </w:tr>
      <w:tr>
        <w:tblPrEx/>
        <w:trPr>
          <w:trHeight w:val="8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"Управление и распоряжение земельными участками, находящимися в муниципальной собственности"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302,0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302,0</w:t>
            </w:r>
            <w:r/>
            <w:r/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"Обеспечение деятельности органов местного самоуправления Белоярского района"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33 734,7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199 589,1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33 734,7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199 589,1</w:t>
            </w:r>
            <w:r/>
            <w:r/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5.1.</w:t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"Обеспечение функций управления муниципальным имуществом"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33 734,7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199 589,1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33 734,7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199 589,1</w:t>
            </w:r>
            <w:r/>
            <w:r/>
          </w:p>
        </w:tc>
      </w:tr>
    </w:tbl>
    <w:p>
      <w:pPr>
        <w:pStyle w:val="871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jc w:val="center"/>
        <w:pageBreakBefore w:val="0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4"/>
        <w:contextualSpacing w:val="0"/>
        <w:jc w:val="center"/>
        <w:pageBreakBefore w:val="0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4.1. Перечень мероприятий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41"/>
        <w:gridCol w:w="3935"/>
        <w:gridCol w:w="8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мероприятия в соответствии с  разделом 4 паспорта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мероприятия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18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мероприятия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 w:bidi="ar"/>
              </w:rPr>
              <w:t xml:space="preserve">Комплекс процессных мероприятий «Управление и распоряжение муниципальным имуществом»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18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технической и иной инвентаризации муниципального имущества, в том числе имущества муниципальной казны;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поступления объектов в муниципальную казну (приобретение,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проведение оценки объектов), содержание муниципальной казны.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 w:bidi="ar"/>
              </w:rPr>
              <w:t xml:space="preserve">Комплекс процессных мероприятий «Управление и распоряжение земельными участками, находящимися в муниципальной собственности»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18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кадастровых работ по образованию, перераспределению, разделу, объединению земельных участков, находящихся в муниципальной собственности, и государственная собственность на которые не разграничена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pageBreakBefore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к муниципальной программе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(результатов), при реализации которых возникают расходные обязательства Белоярского района,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целях софинасирования которых предоставляется субсидия для достижения результатов реализации регион</w:t>
      </w:r>
      <w:r>
        <w:rPr>
          <w:sz w:val="24"/>
          <w:szCs w:val="24"/>
        </w:rPr>
        <w:t xml:space="preserve">ального проекта «Развитие экосистемы поддержки гражданских инициатив» государственной программы Ханты-Мансийского автономного округа – Югры «Развитие гражданского общества», утвержденной постановлением Правительства ХМАО-Югры от 10 ноября 2023 года № 546-п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14716" w:type="dxa"/>
        <w:tblInd w:w="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6"/>
        <w:gridCol w:w="2103"/>
        <w:gridCol w:w="2883"/>
        <w:gridCol w:w="2013"/>
        <w:gridCol w:w="3237"/>
        <w:gridCol w:w="1965"/>
        <w:gridCol w:w="1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8"/>
          <w:tblHeader/>
        </w:trPr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0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мероприятия (результата)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8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результата предоставления субсидии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1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реализации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7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финансирования,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мероприятия раздела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паспорта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/>
          <w:tblHeader/>
        </w:trPr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0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8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1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7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0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Инициативный проект реализован с привлечением средств бюджета Ханты-Мансийского автономного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8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Инициативный проект «Новогодний фонтан «Огни Арктики»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г.Белоярский" реализован с привлечением средств бюджета Ханты-Мансийского автономног 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1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7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6 452 000,0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8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37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автономного округа в целях софинансирования расходных обязательств на реализацию инициативных проектов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4 516 400,00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8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37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1 953 600,00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pageBreakBefore/>
        <w:rPr>
          <w:sz w:val="24"/>
          <w:szCs w:val="24"/>
        </w:rPr>
      </w:pPr>
      <w:r>
        <w:rPr>
          <w:sz w:val="24"/>
          <w:szCs w:val="24"/>
        </w:rPr>
        <w:t xml:space="preserve">Приложение 2 к муниципальной программе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объектов недвижимого имущества, находящихся в муниципальной собственности,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планируемых к проведению капитального ремонта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</w:pPr>
      <w:r/>
      <w:r/>
    </w:p>
    <w:tbl>
      <w:tblPr>
        <w:tblW w:w="1308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5"/>
        <w:gridCol w:w="4438"/>
        <w:gridCol w:w="1414"/>
        <w:gridCol w:w="3554"/>
        <w:gridCol w:w="2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75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3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реализации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5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тысяч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/>
          <w:tblHeader/>
        </w:trPr>
        <w:tc>
          <w:tcPr>
            <w:tcW w:w="75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3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5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5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38" w:type="dxa"/>
            <w:vAlign w:val="top"/>
            <w:textDirection w:val="lrTb"/>
            <w:noWrap w:val="false"/>
          </w:tcPr>
          <w:p>
            <w:pPr>
              <w:pStyle w:val="854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здания Пассажирской станции на 60 пассажиров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5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проектированием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321" w:right="720" w:bottom="986" w:left="993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9</w:t>
    </w:r>
    <w:r>
      <w:fldChar w:fldCharType="end"/>
    </w:r>
    <w:r/>
  </w:p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rFonts w:eastAsia="Times New Roman"/>
      <w:lang w:val="ru-RU" w:eastAsia="ru-RU" w:bidi="ar-SA"/>
    </w:rPr>
  </w:style>
  <w:style w:type="paragraph" w:styleId="855">
    <w:name w:val="Заголовок 1"/>
    <w:basedOn w:val="854"/>
    <w:next w:val="854"/>
    <w:link w:val="859"/>
    <w:qFormat/>
    <w:pPr>
      <w:jc w:val="center"/>
      <w:keepNext/>
      <w:outlineLvl w:val="0"/>
    </w:pPr>
    <w:rPr>
      <w:b/>
      <w:sz w:val="28"/>
    </w:rPr>
  </w:style>
  <w:style w:type="character" w:styleId="856">
    <w:name w:val="Основной шрифт абзаца"/>
    <w:next w:val="856"/>
    <w:link w:val="854"/>
    <w:uiPriority w:val="1"/>
    <w:unhideWhenUsed/>
  </w:style>
  <w:style w:type="table" w:styleId="857">
    <w:name w:val="Обычная таблица"/>
    <w:next w:val="857"/>
    <w:link w:val="854"/>
    <w:uiPriority w:val="99"/>
    <w:unhideWhenUsed/>
    <w:qFormat/>
    <w:tblPr/>
  </w:style>
  <w:style w:type="numbering" w:styleId="858">
    <w:name w:val="Нет списка"/>
    <w:next w:val="858"/>
    <w:link w:val="854"/>
    <w:uiPriority w:val="99"/>
    <w:semiHidden/>
    <w:unhideWhenUsed/>
  </w:style>
  <w:style w:type="character" w:styleId="859">
    <w:name w:val="Заголовок 1 Знак"/>
    <w:next w:val="859"/>
    <w:link w:val="85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60">
    <w:name w:val="Гиперссылка"/>
    <w:next w:val="860"/>
    <w:link w:val="854"/>
    <w:uiPriority w:val="99"/>
    <w:unhideWhenUsed/>
    <w:rPr>
      <w:color w:val="0000ff"/>
      <w:u w:val="single"/>
    </w:rPr>
  </w:style>
  <w:style w:type="paragraph" w:styleId="861">
    <w:name w:val="Текст выноски"/>
    <w:basedOn w:val="854"/>
    <w:next w:val="861"/>
    <w:link w:val="862"/>
    <w:uiPriority w:val="99"/>
    <w:unhideWhenUsed/>
    <w:rPr>
      <w:rFonts w:ascii="Tahoma" w:hAnsi="Tahoma"/>
      <w:sz w:val="16"/>
      <w:szCs w:val="16"/>
    </w:rPr>
  </w:style>
  <w:style w:type="character" w:styleId="862">
    <w:name w:val="Текст выноски Знак"/>
    <w:next w:val="862"/>
    <w:link w:val="8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3">
    <w:name w:val="Основной текст с отступом 3"/>
    <w:basedOn w:val="854"/>
    <w:next w:val="863"/>
    <w:link w:val="864"/>
    <w:pPr>
      <w:jc w:val="center"/>
    </w:pPr>
    <w:rPr>
      <w:sz w:val="24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5">
    <w:name w:val="Верхний колонтитул"/>
    <w:basedOn w:val="854"/>
    <w:next w:val="865"/>
    <w:link w:val="866"/>
    <w:uiPriority w:val="99"/>
    <w:pPr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next w:val="866"/>
    <w:link w:val="865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67">
    <w:name w:val="Нижний колонтитул"/>
    <w:basedOn w:val="854"/>
    <w:next w:val="867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next w:val="868"/>
    <w:link w:val="86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9">
    <w:name w:val="Обычный (веб)"/>
    <w:basedOn w:val="854"/>
    <w:next w:val="869"/>
    <w:link w:val="854"/>
    <w:unhideWhenUsed/>
    <w:qFormat/>
    <w:pPr>
      <w:jc w:val="center"/>
    </w:pPr>
    <w:rPr>
      <w:sz w:val="24"/>
    </w:rPr>
  </w:style>
  <w:style w:type="table" w:styleId="870">
    <w:name w:val="Сетка таблицы"/>
    <w:basedOn w:val="857"/>
    <w:next w:val="870"/>
    <w:link w:val="854"/>
    <w:uiPriority w:val="59"/>
    <w:pPr>
      <w:spacing w:after="0" w:line="240" w:lineRule="auto"/>
    </w:pPr>
    <w:tblPr/>
  </w:style>
  <w:style w:type="paragraph" w:styleId="871">
    <w:name w:val="ConsPlusNormal"/>
    <w:next w:val="871"/>
    <w:link w:val="872"/>
    <w:qFormat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2">
    <w:name w:val="ConsPlusNormal Знак"/>
    <w:next w:val="872"/>
    <w:link w:val="871"/>
    <w:rPr>
      <w:rFonts w:ascii="Arial" w:hAnsi="Arial" w:eastAsia="Times New Roman" w:cs="Arial"/>
    </w:rPr>
  </w:style>
  <w:style w:type="paragraph" w:styleId="873">
    <w:name w:val="ConsPlusNonformat"/>
    <w:next w:val="873"/>
    <w:link w:val="854"/>
    <w:qFormat/>
    <w:rPr>
      <w:rFonts w:ascii="Courier New" w:hAnsi="Courier New" w:eastAsia="Times New Roman" w:cs="Courier New"/>
      <w:lang w:val="ru-RU" w:eastAsia="ru-RU" w:bidi="ar-SA"/>
    </w:rPr>
  </w:style>
  <w:style w:type="paragraph" w:styleId="874">
    <w:name w:val="Обычный + По ширине"/>
    <w:basedOn w:val="854"/>
    <w:next w:val="874"/>
    <w:link w:val="854"/>
    <w:qFormat/>
    <w:pPr>
      <w:ind w:firstLine="708"/>
      <w:jc w:val="both"/>
    </w:pPr>
    <w:rPr>
      <w:sz w:val="24"/>
      <w:szCs w:val="24"/>
    </w:rPr>
  </w:style>
  <w:style w:type="paragraph" w:styleId="875">
    <w:name w:val="Абзац списка"/>
    <w:basedOn w:val="854"/>
    <w:next w:val="875"/>
    <w:link w:val="854"/>
    <w:uiPriority w:val="34"/>
    <w:qFormat/>
    <w:pPr>
      <w:contextualSpacing/>
      <w:ind w:left="720"/>
    </w:pPr>
  </w:style>
  <w:style w:type="character" w:styleId="876">
    <w:name w:val="font21"/>
    <w:next w:val="876"/>
    <w:link w:val="854"/>
    <w:rPr>
      <w:rFonts w:ascii="Times New Roman" w:hAnsi="Times New Roman" w:cs="Times New Roman"/>
      <w:color w:val="000000"/>
      <w:u w:val="none"/>
    </w:rPr>
  </w:style>
  <w:style w:type="character" w:styleId="877">
    <w:name w:val="font01"/>
    <w:next w:val="877"/>
    <w:link w:val="854"/>
    <w:rPr>
      <w:rFonts w:ascii="Times New Roman" w:hAnsi="Times New Roman" w:cs="Times New Roman"/>
      <w:color w:val="000000"/>
      <w:u w:val="none"/>
    </w:rPr>
  </w:style>
  <w:style w:type="character" w:styleId="878">
    <w:name w:val="font51"/>
    <w:next w:val="878"/>
    <w:link w:val="854"/>
    <w:rPr>
      <w:rFonts w:ascii="Calibri" w:hAnsi="Calibri" w:cs="Calibri"/>
      <w:color w:val="000000"/>
      <w:u w:val="none"/>
    </w:rPr>
  </w:style>
  <w:style w:type="character" w:styleId="879">
    <w:name w:val="font61"/>
    <w:next w:val="879"/>
    <w:link w:val="854"/>
    <w:rPr>
      <w:rFonts w:ascii="Times New Roman" w:hAnsi="Times New Roman" w:cs="Times New Roman"/>
      <w:color w:val="000000"/>
      <w:u w:val="none"/>
    </w:rPr>
  </w:style>
  <w:style w:type="paragraph" w:styleId="880">
    <w:name w:val="Без интервала"/>
    <w:next w:val="880"/>
    <w:link w:val="85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</dc:creator>
  <cp:lastModifiedBy>BordunAO</cp:lastModifiedBy>
  <cp:revision>7</cp:revision>
  <dcterms:created xsi:type="dcterms:W3CDTF">2024-12-06T05:09:00Z</dcterms:created>
  <dcterms:modified xsi:type="dcterms:W3CDTF">2026-01-28T11:39:55Z</dcterms:modified>
  <cp:version>1048576</cp:version>
</cp:coreProperties>
</file>