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</w:pPr>
      <w:r/>
      <w:r/>
    </w:p>
    <w:p>
      <w:pPr>
        <w:pStyle w:val="861"/>
        <w:jc w:val="center"/>
      </w:pPr>
      <w:r>
        <w:t xml:space="preserve">Ханты-Мансийский автономный округ - Югра </w:t>
      </w:r>
      <w:r/>
    </w:p>
    <w:p>
      <w:pPr>
        <w:pStyle w:val="861"/>
        <w:jc w:val="center"/>
      </w:pPr>
      <w:r>
        <w:t xml:space="preserve"> </w:t>
      </w:r>
      <w:r>
        <w:t xml:space="preserve">(Тюменская область) </w:t>
      </w:r>
      <w:r/>
    </w:p>
    <w:p>
      <w:pPr>
        <w:pStyle w:val="861"/>
        <w:jc w:val="center"/>
      </w:pPr>
      <w:r/>
      <w:r/>
    </w:p>
    <w:p>
      <w:pPr>
        <w:pStyle w:val="861"/>
        <w:jc w:val="center"/>
        <w:rPr>
          <w:b/>
          <w:sz w:val="26"/>
        </w:rPr>
      </w:pPr>
      <w:r>
        <w:rPr>
          <w:b/>
          <w:sz w:val="26"/>
        </w:rPr>
        <w:t xml:space="preserve">АДМИНИСТРАЦИЯ</w:t>
      </w:r>
      <w:r>
        <w:rPr>
          <w:b/>
          <w:sz w:val="26"/>
        </w:rPr>
      </w:r>
      <w:r>
        <w:rPr>
          <w:b/>
          <w:sz w:val="26"/>
        </w:rPr>
      </w:r>
    </w:p>
    <w:p>
      <w:pPr>
        <w:pStyle w:val="861"/>
        <w:jc w:val="center"/>
        <w:rPr>
          <w:sz w:val="22"/>
        </w:rPr>
      </w:pPr>
      <w:r>
        <w:rPr>
          <w:b/>
          <w:sz w:val="22"/>
        </w:rPr>
        <w:t xml:space="preserve">БЕЛОЯРСК</w:t>
      </w:r>
      <w:r>
        <w:rPr>
          <w:b/>
          <w:sz w:val="22"/>
        </w:rPr>
        <w:t xml:space="preserve">ОГО РАЙОНА</w:t>
      </w:r>
      <w:r>
        <w:rPr>
          <w:sz w:val="22"/>
        </w:rPr>
      </w:r>
      <w:r>
        <w:rPr>
          <w:sz w:val="22"/>
        </w:rPr>
      </w:r>
    </w:p>
    <w:p>
      <w:pPr>
        <w:pStyle w:val="861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61"/>
        <w:jc w:val="center"/>
        <w:rPr>
          <w:b/>
          <w:sz w:val="32"/>
        </w:rPr>
      </w:pPr>
      <w:r>
        <w:rPr>
          <w:b/>
          <w:sz w:val="32"/>
        </w:rPr>
        <w:t xml:space="preserve">М</w:t>
      </w:r>
      <w:r>
        <w:rPr>
          <w:b/>
          <w:sz w:val="32"/>
        </w:rPr>
        <w:t xml:space="preserve">ежведомственная комиссия по организации 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1"/>
        <w:jc w:val="center"/>
        <w:rPr>
          <w:b/>
          <w:sz w:val="32"/>
        </w:rPr>
      </w:pPr>
      <w:r>
        <w:rPr>
          <w:b/>
          <w:sz w:val="32"/>
        </w:rPr>
        <w:t xml:space="preserve">отдыха,</w:t>
      </w:r>
      <w:r>
        <w:rPr>
          <w:b/>
          <w:sz w:val="32"/>
        </w:rPr>
        <w:t xml:space="preserve"> оздоровления, занятости детей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1"/>
        <w:jc w:val="center"/>
        <w:rPr>
          <w:b/>
          <w:sz w:val="32"/>
        </w:rPr>
        <w:pBdr>
          <w:bottom w:val="single" w:color="000000" w:sz="12" w:space="1"/>
        </w:pBdr>
      </w:pPr>
      <w:r>
        <w:rPr>
          <w:b/>
          <w:sz w:val="32"/>
        </w:rPr>
        <w:t xml:space="preserve">Белоярского района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61"/>
        <w:jc w:val="both"/>
        <w:rPr>
          <w:sz w:val="22"/>
        </w:rPr>
      </w:pPr>
      <w:r>
        <w:rPr>
          <w:sz w:val="22"/>
        </w:rPr>
        <w:t xml:space="preserve">ул. Центральная,</w:t>
      </w:r>
      <w:r>
        <w:rPr>
          <w:sz w:val="22"/>
        </w:rPr>
        <w:t xml:space="preserve"> </w:t>
      </w:r>
      <w:r>
        <w:rPr>
          <w:sz w:val="22"/>
        </w:rPr>
        <w:t xml:space="preserve">9 г.</w:t>
      </w:r>
      <w:r>
        <w:rPr>
          <w:sz w:val="22"/>
        </w:rPr>
        <w:t xml:space="preserve"> Б</w:t>
      </w:r>
      <w:r>
        <w:rPr>
          <w:sz w:val="22"/>
        </w:rPr>
        <w:t xml:space="preserve">елоярский, Тюменская область</w:t>
      </w:r>
      <w:r>
        <w:rPr>
          <w:sz w:val="22"/>
        </w:rPr>
      </w:r>
      <w:r>
        <w:rPr>
          <w:sz w:val="22"/>
        </w:rPr>
      </w:r>
    </w:p>
    <w:p>
      <w:pPr>
        <w:pStyle w:val="861"/>
        <w:jc w:val="both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Ханты-Мансийский автономный округ</w:t>
      </w:r>
      <w:r>
        <w:rPr>
          <w:sz w:val="22"/>
        </w:rPr>
        <w:t xml:space="preserve"> - Югра</w:t>
      </w:r>
      <w:r>
        <w:rPr>
          <w:sz w:val="22"/>
        </w:rPr>
        <w:t xml:space="preserve">, 628162</w:t>
      </w:r>
      <w:r>
        <w:rPr>
          <w:sz w:val="22"/>
        </w:rPr>
      </w:r>
      <w:r>
        <w:rPr>
          <w:sz w:val="22"/>
        </w:rPr>
      </w:r>
    </w:p>
    <w:p>
      <w:pPr>
        <w:pStyle w:val="861"/>
        <w:jc w:val="both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 xml:space="preserve">тел.</w:t>
      </w:r>
      <w:r>
        <w:rPr>
          <w:sz w:val="22"/>
        </w:rPr>
        <w:t xml:space="preserve">  </w:t>
      </w:r>
      <w:r>
        <w:rPr>
          <w:sz w:val="22"/>
        </w:rPr>
        <w:t xml:space="preserve">62-</w:t>
      </w:r>
      <w:r>
        <w:rPr>
          <w:sz w:val="22"/>
        </w:rPr>
        <w:t xml:space="preserve">104, 2</w:t>
      </w:r>
      <w:r>
        <w:rPr>
          <w:sz w:val="22"/>
        </w:rPr>
        <w:t xml:space="preserve">-17-97</w:t>
      </w:r>
      <w:r>
        <w:rPr>
          <w:sz w:val="22"/>
        </w:rPr>
      </w:r>
      <w:r>
        <w:rPr>
          <w:sz w:val="22"/>
        </w:rPr>
      </w:r>
    </w:p>
    <w:p>
      <w:pPr>
        <w:pStyle w:val="86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заседания межведомственной комиссии по организации отдыха,</w:t>
      </w:r>
      <w:r>
        <w:rPr>
          <w:sz w:val="26"/>
          <w:szCs w:val="26"/>
        </w:rPr>
        <w:t xml:space="preserve"> оздоровления, занятости детей </w:t>
      </w:r>
      <w:r>
        <w:rPr>
          <w:sz w:val="26"/>
          <w:szCs w:val="26"/>
        </w:rPr>
        <w:t xml:space="preserve">Белоярского района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проведения: 23.09.2025</w:t>
            </w:r>
            <w:r>
              <w:rPr>
                <w:sz w:val="28"/>
                <w:szCs w:val="28"/>
              </w:rPr>
              <w:t xml:space="preserve"> г.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заседании присутствовали: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 Н.В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Белоярского района по социальным вопросам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Кавецкая С.Р. - секретарь комиссии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Лукиных С.Л.</w:t>
      </w:r>
      <w:r>
        <w:rPr>
          <w:sz w:val="28"/>
          <w:szCs w:val="28"/>
        </w:rPr>
        <w:t xml:space="preserve"> (КО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Цветкова А.В.</w:t>
      </w:r>
      <w:r>
        <w:rPr>
          <w:sz w:val="28"/>
          <w:szCs w:val="28"/>
        </w:rPr>
        <w:t xml:space="preserve"> (МАУ «Северянка</w:t>
      </w:r>
      <w:r>
        <w:rPr>
          <w:sz w:val="28"/>
          <w:szCs w:val="28"/>
        </w:rPr>
        <w:t xml:space="preserve">»), </w:t>
      </w:r>
      <w:r>
        <w:rPr>
          <w:sz w:val="28"/>
          <w:szCs w:val="28"/>
        </w:rPr>
        <w:t xml:space="preserve">Сватков С.А.</w:t>
      </w:r>
      <w:r>
        <w:rPr>
          <w:sz w:val="28"/>
          <w:szCs w:val="28"/>
        </w:rPr>
        <w:t xml:space="preserve"> (УСЗН),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Шулика А.Р.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КДН, ЗП), </w:t>
      </w:r>
      <w:r>
        <w:rPr>
          <w:sz w:val="28"/>
          <w:szCs w:val="28"/>
        </w:rPr>
        <w:t xml:space="preserve">Васильев Е.М.</w:t>
      </w:r>
      <w:r>
        <w:rPr>
          <w:sz w:val="28"/>
          <w:szCs w:val="28"/>
        </w:rPr>
        <w:t xml:space="preserve"> (Роспо</w:t>
      </w:r>
      <w:r>
        <w:rPr>
          <w:sz w:val="28"/>
          <w:szCs w:val="28"/>
        </w:rPr>
        <w:t xml:space="preserve">требнадзор), Сорокин А.А.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(ОНД),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Чекменева С.А.</w:t>
      </w:r>
      <w:r>
        <w:rPr>
          <w:sz w:val="28"/>
          <w:szCs w:val="28"/>
        </w:rPr>
        <w:t xml:space="preserve"> (ЦЗН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Аксенов</w:t>
      </w:r>
      <w:r>
        <w:rPr>
          <w:sz w:val="28"/>
          <w:szCs w:val="28"/>
        </w:rPr>
        <w:t xml:space="preserve">а Т.Н. (КК), Горин М.В.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(Росгвардия),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Курганская И.Г. (БРБ)</w:t>
      </w:r>
      <w:r>
        <w:rPr>
          <w:sz w:val="28"/>
          <w:szCs w:val="28"/>
        </w:rPr>
      </w:r>
      <w:r/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Повестка заседания: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итогах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организации летней оздоровительно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кампании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за пределами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(численность оздоровительных организаций, количественный охват детей (в т.ч. из числа нуждающихся в особой заботе государства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участников СВО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использование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средств бюджетов всех уровней и привлечении внебюджетных средств)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Докладчики: Лукиных С.Л.(КО), Кавецкая С.Р. (КДМ, ФК и С),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Цветкова А.В.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(МАУ «Северянка»), Аксенова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Т.Н. (КК), Сватков С.А.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(УСЗН),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Кавецк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 С.Р. (МК о путевках ООО ГТЮ).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отдыха и оздоровления детей Белоярского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социально опасном положении в период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летн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ей оздоровительной кампании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(количественный охват, направления организованной занятости)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Докладчик: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Шулика А.Р.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КДН, ЗП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организации трудовой занятости несовершеннолетних (в т.ч. из числа нуждающихся в особой заботе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осударства) в летний период 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т.ч.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разрезе по поселениям) (плановые и фактические показатели, использование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финансовых средств).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Докладчики: Кавецкая С.Р.  (КДМ, ФК и С),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Чекменева С.А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(КУ ЦЗН).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медицинском сопровождении оздоровительной кампании (в т.ч. определении оздоровительного эффекта) и организации «медицинских фильтр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ов» в период летних каникул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Докладчик: Курганская И.Г. (БРБ).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проведенных проверках организаций отдыха детей и их оздоровления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контрольными и надзорными органами, выявленных нарушениях и принятых мерах в отношении допустивших нарушения физических и юридических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летний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период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Докладчики: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Васильев Е.М.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(Роспо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требнадзор), Сорокин А.А. (ОНД)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Горин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(Росгвардия),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отдыха детей и их оздоровления на территори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Белоярского райо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 период осенних каникул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зимних каникул 2026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Лукиных С.Л.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Цветкова А.В.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(МАУ «Северянка»).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1"/>
        <w:jc w:val="both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1"/>
        <w:jc w:val="both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Cs w:val="20"/>
        </w:rPr>
        <w:tab/>
      </w:r>
      <w:r>
        <w:rPr>
          <w:b/>
          <w:sz w:val="28"/>
          <w:szCs w:val="28"/>
        </w:rPr>
        <w:t xml:space="preserve">В период летней озд</w:t>
      </w:r>
      <w:r>
        <w:rPr>
          <w:b/>
          <w:sz w:val="28"/>
          <w:szCs w:val="28"/>
        </w:rPr>
        <w:t xml:space="preserve">оровительной кампании </w:t>
      </w:r>
      <w:r>
        <w:rPr>
          <w:b/>
          <w:sz w:val="28"/>
          <w:szCs w:val="28"/>
        </w:rPr>
        <w:t xml:space="preserve">2025</w:t>
      </w:r>
      <w:r>
        <w:rPr>
          <w:b/>
          <w:sz w:val="28"/>
          <w:szCs w:val="28"/>
        </w:rPr>
        <w:t xml:space="preserve"> года организованными формами отдыха и оздоровления</w:t>
      </w:r>
      <w:r>
        <w:rPr>
          <w:b/>
          <w:sz w:val="28"/>
          <w:szCs w:val="28"/>
        </w:rPr>
        <w:t xml:space="preserve"> были охвачены </w:t>
      </w:r>
      <w:r>
        <w:rPr>
          <w:b/>
          <w:sz w:val="28"/>
          <w:szCs w:val="28"/>
          <w:highlight w:val="white"/>
        </w:rPr>
        <w:t xml:space="preserve">1602/ </w:t>
      </w:r>
      <w:r>
        <w:rPr>
          <w:b/>
          <w:sz w:val="28"/>
          <w:szCs w:val="28"/>
          <w:highlight w:val="none"/>
        </w:rPr>
        <w:t xml:space="preserve">41,4</w:t>
      </w:r>
      <w:r>
        <w:rPr>
          <w:b/>
          <w:sz w:val="28"/>
          <w:szCs w:val="28"/>
          <w:highlight w:val="none"/>
        </w:rPr>
        <w:t xml:space="preserve">%</w:t>
      </w:r>
      <w:r>
        <w:rPr>
          <w:b/>
          <w:sz w:val="28"/>
          <w:szCs w:val="28"/>
        </w:rPr>
        <w:t xml:space="preserve"> (2024</w:t>
      </w:r>
      <w:r>
        <w:rPr>
          <w:b/>
          <w:sz w:val="28"/>
          <w:szCs w:val="28"/>
        </w:rPr>
        <w:t xml:space="preserve"> г. -  </w:t>
      </w:r>
      <w:r>
        <w:rPr>
          <w:b/>
          <w:sz w:val="28"/>
          <w:szCs w:val="28"/>
        </w:rPr>
        <w:t xml:space="preserve">1828/ 46,8</w:t>
      </w:r>
      <w:r>
        <w:rPr>
          <w:b/>
          <w:sz w:val="28"/>
          <w:szCs w:val="28"/>
        </w:rPr>
        <w:t xml:space="preserve">%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детей в возрасте от 6 до 17 лет.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летний период на территории района работали 20 организаций отдыха детей и их оздоровления: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- 15 лагерей с дневным пребыванием детей с общим охватом 1066 </w:t>
      </w:r>
      <w:r>
        <w:rPr>
          <w:sz w:val="28"/>
          <w:szCs w:val="28"/>
        </w:rPr>
        <w:t xml:space="preserve">детей </w:t>
      </w:r>
      <w:r>
        <w:rPr>
          <w:sz w:val="28"/>
          <w:szCs w:val="28"/>
          <w:highlight w:val="none"/>
        </w:rPr>
        <w:t xml:space="preserve"> (в том числе 11 – на базе о</w:t>
      </w:r>
      <w:r>
        <w:rPr>
          <w:sz w:val="28"/>
          <w:szCs w:val="28"/>
          <w:highlight w:val="none"/>
        </w:rPr>
        <w:t xml:space="preserve">бразовательных учреждений / 875 детей, </w:t>
      </w:r>
      <w:r>
        <w:rPr>
          <w:sz w:val="28"/>
          <w:szCs w:val="28"/>
        </w:rPr>
        <w:t xml:space="preserve">1 – на базе МБ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ДО «Спортивная школа</w:t>
      </w:r>
      <w:r>
        <w:rPr>
          <w:sz w:val="28"/>
          <w:szCs w:val="28"/>
        </w:rPr>
        <w:t xml:space="preserve">» / 50 детей, 1 – на базе БУСО КЦСОН «Милосердие» / 116 детей, 1 – на базе МАУК ДШИ </w:t>
      </w:r>
      <w:r>
        <w:rPr>
          <w:sz w:val="28"/>
          <w:szCs w:val="28"/>
        </w:rPr>
        <w:t xml:space="preserve">– 25 д</w:t>
      </w:r>
      <w:r>
        <w:rPr>
          <w:sz w:val="28"/>
          <w:szCs w:val="28"/>
        </w:rPr>
        <w:t xml:space="preserve">етей)</w:t>
      </w:r>
      <w:r>
        <w:rPr>
          <w:sz w:val="28"/>
          <w:szCs w:val="28"/>
        </w:rPr>
        <w:t xml:space="preserve"> (2024</w:t>
      </w:r>
      <w:r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15 лагерей / 1201</w:t>
      </w:r>
      <w:r>
        <w:rPr>
          <w:sz w:val="28"/>
          <w:szCs w:val="28"/>
        </w:rPr>
        <w:t xml:space="preserve"> ребенок);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лагерь с круглосуточным пребыванием детей, организованный на базе МАУ «База спорта и отдыха «Северянка», охват детей составил </w:t>
      </w:r>
      <w:r>
        <w:rPr>
          <w:sz w:val="28"/>
          <w:szCs w:val="28"/>
        </w:rPr>
        <w:t xml:space="preserve">238</w:t>
      </w:r>
      <w:r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(2024</w:t>
      </w:r>
      <w:r>
        <w:rPr>
          <w:sz w:val="28"/>
          <w:szCs w:val="28"/>
        </w:rPr>
        <w:t xml:space="preserve"> год – 251</w:t>
      </w:r>
      <w:r>
        <w:rPr>
          <w:sz w:val="28"/>
          <w:szCs w:val="28"/>
        </w:rPr>
        <w:t xml:space="preserve"> ребенок)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лагерь труда и отдыха с дневным пребыванием на базе М</w:t>
      </w:r>
      <w:r>
        <w:rPr>
          <w:sz w:val="28"/>
          <w:szCs w:val="28"/>
        </w:rPr>
        <w:t xml:space="preserve">КУ МЦ «Спутник» / 25 детей (2024</w:t>
      </w:r>
      <w:r>
        <w:rPr>
          <w:sz w:val="28"/>
          <w:szCs w:val="28"/>
        </w:rPr>
        <w:t xml:space="preserve"> год – 1/25);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палаточных лагерей с охватом детей </w:t>
      </w:r>
      <w:r>
        <w:rPr>
          <w:sz w:val="28"/>
          <w:szCs w:val="28"/>
        </w:rPr>
        <w:t xml:space="preserve">65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(2024 год – 3 /60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b/>
          <w:color w:val="000000"/>
          <w:spacing w:val="6"/>
          <w:position w:val="-2"/>
          <w:sz w:val="28"/>
          <w:szCs w:val="28"/>
          <w:highlight w:val="none"/>
        </w:rPr>
      </w:pPr>
      <w:r>
        <w:rPr>
          <w:b/>
          <w:color w:val="000000"/>
          <w:spacing w:val="6"/>
          <w:position w:val="-2"/>
          <w:sz w:val="28"/>
          <w:szCs w:val="28"/>
        </w:rPr>
        <w:t xml:space="preserve">Всего на террито</w:t>
      </w:r>
      <w:r>
        <w:rPr>
          <w:b/>
          <w:color w:val="000000"/>
          <w:spacing w:val="6"/>
          <w:position w:val="-2"/>
          <w:sz w:val="28"/>
          <w:szCs w:val="28"/>
        </w:rPr>
        <w:t xml:space="preserve">рии Белоярского района отдохнули</w:t>
      </w:r>
      <w:r>
        <w:rPr>
          <w:b/>
          <w:color w:val="000000"/>
          <w:spacing w:val="6"/>
          <w:position w:val="-2"/>
          <w:sz w:val="28"/>
          <w:szCs w:val="28"/>
        </w:rPr>
        <w:t xml:space="preserve"> </w:t>
      </w:r>
      <w:r>
        <w:rPr>
          <w:b/>
          <w:color w:val="000000"/>
          <w:spacing w:val="6"/>
          <w:position w:val="-2"/>
          <w:sz w:val="28"/>
          <w:szCs w:val="28"/>
          <w:highlight w:val="white"/>
        </w:rPr>
        <w:t xml:space="preserve">1394</w:t>
      </w:r>
      <w:r>
        <w:rPr>
          <w:b/>
          <w:color w:val="000000"/>
          <w:spacing w:val="6"/>
          <w:position w:val="-2"/>
          <w:sz w:val="28"/>
          <w:szCs w:val="28"/>
          <w:highlight w:val="white"/>
        </w:rPr>
        <w:t xml:space="preserve"> ребенка 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/ 36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%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 (2024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 год –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1537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 детей / 39,3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%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)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  <w:t xml:space="preserve">.</w:t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</w:r>
      <w:r>
        <w:rPr>
          <w:b/>
          <w:color w:val="000000"/>
          <w:spacing w:val="6"/>
          <w:position w:val="-2"/>
          <w:sz w:val="28"/>
          <w:szCs w:val="28"/>
          <w:highlight w:val="none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Отдых и оздоровление детей за пределами района осуществлялся в лагерях и оздоровительных центрах, расположенных на Черноморском побережье Краснодарского края</w:t>
      </w:r>
      <w:r>
        <w:rPr>
          <w:sz w:val="28"/>
          <w:szCs w:val="28"/>
          <w:highlight w:val="none"/>
        </w:rPr>
        <w:t xml:space="preserve">, в Республике Беларусь</w:t>
      </w:r>
      <w:r>
        <w:rPr>
          <w:sz w:val="28"/>
          <w:szCs w:val="28"/>
          <w:highlight w:val="none"/>
        </w:rPr>
        <w:t xml:space="preserve"> по путевкам, приобр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тенным уполномоченным органом, </w:t>
      </w:r>
      <w:r>
        <w:rPr>
          <w:sz w:val="28"/>
          <w:szCs w:val="28"/>
          <w:highlight w:val="none"/>
        </w:rPr>
        <w:t xml:space="preserve">путевкам ООО Газпром трансгаз Югорск</w:t>
      </w:r>
      <w:r>
        <w:rPr>
          <w:sz w:val="28"/>
          <w:szCs w:val="28"/>
          <w:highlight w:val="none"/>
        </w:rPr>
        <w:t xml:space="preserve">, путевкам отраслевых Департаментов</w:t>
      </w:r>
      <w:r>
        <w:rPr>
          <w:sz w:val="28"/>
          <w:szCs w:val="28"/>
          <w:highlight w:val="none"/>
        </w:rPr>
        <w:t xml:space="preserve">. </w:t>
      </w:r>
      <w:r>
        <w:rPr>
          <w:b/>
          <w:sz w:val="28"/>
          <w:szCs w:val="28"/>
          <w:highlight w:val="none"/>
        </w:rPr>
        <w:t xml:space="preserve">Все</w:t>
      </w:r>
      <w:r>
        <w:rPr>
          <w:b/>
          <w:sz w:val="28"/>
          <w:szCs w:val="28"/>
          <w:highlight w:val="none"/>
        </w:rPr>
        <w:t xml:space="preserve">го за пределами района </w:t>
      </w:r>
      <w:r>
        <w:rPr>
          <w:b/>
          <w:sz w:val="28"/>
          <w:szCs w:val="28"/>
          <w:highlight w:val="none"/>
        </w:rPr>
        <w:t xml:space="preserve">отдохнул</w:t>
      </w:r>
      <w:r>
        <w:rPr>
          <w:b/>
          <w:sz w:val="28"/>
          <w:szCs w:val="28"/>
          <w:highlight w:val="none"/>
        </w:rPr>
        <w:t xml:space="preserve">и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  <w:u w:val="single"/>
        </w:rPr>
        <w:t xml:space="preserve">208 детей</w:t>
      </w:r>
      <w:r>
        <w:rPr>
          <w:b/>
          <w:sz w:val="28"/>
          <w:szCs w:val="28"/>
          <w:highlight w:val="none"/>
          <w:u w:val="single"/>
        </w:rPr>
        <w:t xml:space="preserve"> /</w:t>
      </w:r>
      <w:r>
        <w:rPr>
          <w:b/>
          <w:sz w:val="28"/>
          <w:szCs w:val="28"/>
          <w:highlight w:val="none"/>
          <w:u w:val="single"/>
        </w:rPr>
        <w:t xml:space="preserve"> 5,4</w:t>
      </w:r>
      <w:r>
        <w:rPr>
          <w:b/>
          <w:sz w:val="28"/>
          <w:szCs w:val="28"/>
          <w:highlight w:val="none"/>
          <w:u w:val="single"/>
        </w:rPr>
        <w:t xml:space="preserve">%</w:t>
      </w:r>
      <w:r>
        <w:rPr>
          <w:b/>
          <w:sz w:val="28"/>
          <w:szCs w:val="28"/>
          <w:highlight w:val="none"/>
        </w:rPr>
        <w:t xml:space="preserve"> (2</w:t>
      </w:r>
      <w:r>
        <w:rPr>
          <w:b/>
          <w:sz w:val="28"/>
          <w:szCs w:val="28"/>
        </w:rPr>
        <w:t xml:space="preserve">024</w:t>
      </w:r>
      <w:r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  <w:u w:val="single"/>
        </w:rPr>
        <w:t xml:space="preserve">291 ребенок</w:t>
      </w:r>
      <w:r>
        <w:rPr>
          <w:b/>
          <w:sz w:val="28"/>
          <w:szCs w:val="28"/>
          <w:u w:val="single"/>
        </w:rPr>
        <w:t xml:space="preserve"> / </w:t>
      </w:r>
      <w:r>
        <w:rPr>
          <w:b/>
          <w:sz w:val="28"/>
          <w:szCs w:val="28"/>
          <w:u w:val="single"/>
        </w:rPr>
        <w:t xml:space="preserve">7,4</w:t>
      </w:r>
      <w:r>
        <w:rPr>
          <w:b/>
          <w:sz w:val="28"/>
          <w:szCs w:val="28"/>
          <w:u w:val="single"/>
        </w:rPr>
        <w:t xml:space="preserve">%</w:t>
      </w:r>
      <w:r>
        <w:rPr>
          <w:b/>
          <w:sz w:val="28"/>
          <w:szCs w:val="28"/>
        </w:rPr>
        <w:t xml:space="preserve">)</w:t>
      </w:r>
      <w:r>
        <w:rPr>
          <w:sz w:val="28"/>
          <w:szCs w:val="28"/>
        </w:rPr>
        <w:t xml:space="preserve">, из них: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путевкам, приобретенным уполномоченным органом – </w:t>
      </w:r>
      <w:r>
        <w:rPr>
          <w:sz w:val="28"/>
          <w:szCs w:val="28"/>
        </w:rPr>
        <w:t xml:space="preserve">36 </w:t>
      </w:r>
      <w:r>
        <w:rPr>
          <w:sz w:val="28"/>
          <w:szCs w:val="28"/>
        </w:rPr>
        <w:t xml:space="preserve">детей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ДОЛ «</w:t>
      </w:r>
      <w:r>
        <w:rPr>
          <w:sz w:val="28"/>
          <w:szCs w:val="28"/>
        </w:rPr>
        <w:t xml:space="preserve">Октябрь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(2024</w:t>
      </w:r>
      <w:r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36 ребенка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путевкам ООО Газпром т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нсгаз Югорск – 58 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(2024</w:t>
      </w:r>
      <w:r>
        <w:rPr>
          <w:sz w:val="28"/>
          <w:szCs w:val="28"/>
        </w:rPr>
        <w:t xml:space="preserve"> год – </w:t>
      </w:r>
      <w:r>
        <w:rPr>
          <w:sz w:val="28"/>
          <w:szCs w:val="28"/>
        </w:rPr>
      </w:r>
      <w:r>
        <w:rPr>
          <w:sz w:val="28"/>
          <w:szCs w:val="28"/>
        </w:rPr>
        <w:t xml:space="preserve">192 ребенка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путевкам</w:t>
      </w:r>
      <w:r>
        <w:rPr>
          <w:sz w:val="28"/>
          <w:szCs w:val="28"/>
        </w:rPr>
        <w:t xml:space="preserve"> отраслевых Департаментов в 2024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 отдохнули – 114 дет</w:t>
      </w:r>
      <w:r>
        <w:rPr>
          <w:sz w:val="28"/>
          <w:szCs w:val="28"/>
          <w:highlight w:val="none"/>
        </w:rPr>
        <w:t xml:space="preserve">ей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(1</w:t>
      </w:r>
      <w:r>
        <w:rPr>
          <w:sz w:val="28"/>
          <w:szCs w:val="28"/>
          <w:highlight w:val="none"/>
        </w:rPr>
        <w:t xml:space="preserve"> - в </w:t>
      </w:r>
      <w:r>
        <w:rPr>
          <w:sz w:val="28"/>
          <w:szCs w:val="28"/>
          <w:highlight w:val="none"/>
        </w:rPr>
        <w:t xml:space="preserve">Краснодарском крае (ДОиН),</w:t>
      </w:r>
      <w:r>
        <w:rPr>
          <w:sz w:val="28"/>
          <w:szCs w:val="28"/>
          <w:highlight w:val="none"/>
        </w:rPr>
        <w:t xml:space="preserve"> 3 – в Пятигорске (ДО и Н),</w:t>
      </w:r>
      <w:r>
        <w:rPr>
          <w:sz w:val="28"/>
          <w:szCs w:val="28"/>
          <w:highlight w:val="none"/>
        </w:rPr>
        <w:t xml:space="preserve">  60 – в Крыму (ДО и Н), 37 </w:t>
      </w:r>
      <w:r>
        <w:rPr>
          <w:sz w:val="28"/>
          <w:szCs w:val="28"/>
          <w:highlight w:val="none"/>
        </w:rPr>
        <w:t xml:space="preserve">в Краснодар</w:t>
      </w:r>
      <w:r>
        <w:rPr>
          <w:sz w:val="28"/>
          <w:szCs w:val="28"/>
          <w:highlight w:val="none"/>
        </w:rPr>
        <w:t xml:space="preserve">ском крае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(Депсоцразвития), </w:t>
      </w: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Краснодарский край</w:t>
      </w:r>
      <w:r>
        <w:rPr>
          <w:sz w:val="28"/>
          <w:szCs w:val="28"/>
        </w:rPr>
        <w:t xml:space="preserve"> (ДФК)</w:t>
      </w:r>
      <w:r>
        <w:rPr>
          <w:sz w:val="28"/>
          <w:szCs w:val="28"/>
        </w:rPr>
        <w:t xml:space="preserve">, 3</w:t>
      </w:r>
      <w:r>
        <w:rPr>
          <w:sz w:val="28"/>
          <w:szCs w:val="28"/>
        </w:rPr>
        <w:t xml:space="preserve"> – Новосибирск (ДК)</w:t>
      </w:r>
      <w:r>
        <w:rPr>
          <w:sz w:val="28"/>
          <w:szCs w:val="28"/>
        </w:rPr>
        <w:t xml:space="preserve"> (2024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63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color w:val="000000"/>
          <w:position w:val="-2"/>
          <w:sz w:val="28"/>
          <w:szCs w:val="28"/>
        </w:rPr>
      </w:pPr>
      <w:r>
        <w:rPr>
          <w:color w:val="000000"/>
          <w:position w:val="-2"/>
          <w:sz w:val="28"/>
          <w:szCs w:val="28"/>
        </w:rPr>
        <w:t xml:space="preserve">Эффективность оздоровления на территории Белоярского района составила:</w:t>
      </w:r>
      <w:r>
        <w:rPr>
          <w:color w:val="000000"/>
          <w:position w:val="-2"/>
          <w:sz w:val="28"/>
          <w:szCs w:val="28"/>
        </w:rPr>
      </w:r>
      <w:r>
        <w:rPr>
          <w:color w:val="000000"/>
          <w:position w:val="-2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- оздоровлены с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выраженным  эффектом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 1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328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человека –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99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,93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%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6"/>
          <w:sz w:val="28"/>
          <w:szCs w:val="28"/>
        </w:rPr>
      </w:r>
      <w:r>
        <w:rPr>
          <w:rFonts w:ascii="Times New Roman" w:hAnsi="Times New Roman" w:cs="Times New Roman"/>
          <w:spacing w:val="6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-со слабым эффектом -1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( ребенок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инвалид колясочник)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, что составляет 0.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07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%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6"/>
          <w:sz w:val="28"/>
          <w:szCs w:val="28"/>
        </w:rPr>
      </w:r>
      <w:r>
        <w:rPr>
          <w:rFonts w:ascii="Times New Roman" w:hAnsi="Times New Roman" w:cs="Times New Roman"/>
          <w:spacing w:val="6"/>
          <w:sz w:val="28"/>
          <w:szCs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-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с отсутствием эффекта не было детей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/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</w:r>
      <w:r>
        <w:rPr>
          <w:rFonts w:ascii="Times New Roman" w:hAnsi="Times New Roman" w:cs="Times New Roman"/>
          <w:spacing w:val="6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, травм, госпитализации детей </w:t>
      </w:r>
      <w:r>
        <w:rPr>
          <w:rFonts w:ascii="Times New Roman" w:hAnsi="Times New Roman" w:cs="Times New Roman"/>
          <w:sz w:val="28"/>
          <w:szCs w:val="28"/>
        </w:rPr>
        <w:t xml:space="preserve">в период летнего отдыха и оздоровления не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color w:val="000000"/>
          <w:position w:val="-2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период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были трудоустроены и работали в составе молодежных трудовых отрядов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возрасте от 14 до 18 лет (202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г.- </w:t>
      </w:r>
      <w:r>
        <w:rPr>
          <w:sz w:val="28"/>
          <w:szCs w:val="28"/>
        </w:rPr>
        <w:t xml:space="preserve">36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Заслушав и обсудив выступления докладчиков, было принято следующее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к </w:t>
      </w:r>
      <w:r>
        <w:rPr>
          <w:sz w:val="28"/>
          <w:szCs w:val="28"/>
        </w:rPr>
        <w:t xml:space="preserve">сведению информацию докладчиков </w:t>
      </w:r>
      <w:r>
        <w:rPr>
          <w:sz w:val="28"/>
          <w:szCs w:val="28"/>
        </w:rPr>
        <w:t xml:space="preserve">Лукиных С.Л.</w:t>
      </w:r>
      <w:r>
        <w:rPr>
          <w:sz w:val="28"/>
          <w:szCs w:val="28"/>
        </w:rPr>
        <w:t xml:space="preserve">(КО),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Кавецкой С.Р.</w:t>
      </w:r>
      <w:r>
        <w:rPr>
          <w:sz w:val="28"/>
          <w:szCs w:val="28"/>
        </w:rPr>
        <w:t xml:space="preserve"> (КДМ, ФК и С), </w:t>
      </w:r>
      <w:r>
        <w:rPr>
          <w:sz w:val="28"/>
          <w:szCs w:val="28"/>
        </w:rPr>
        <w:t xml:space="preserve">Цв</w:t>
      </w:r>
      <w:r>
        <w:rPr>
          <w:sz w:val="28"/>
          <w:szCs w:val="28"/>
        </w:rPr>
        <w:t xml:space="preserve">етковой А.В.</w:t>
      </w:r>
      <w:r>
        <w:rPr>
          <w:sz w:val="28"/>
          <w:szCs w:val="28"/>
        </w:rPr>
        <w:t xml:space="preserve"> (МАУ</w:t>
      </w:r>
      <w:r>
        <w:rPr>
          <w:sz w:val="28"/>
          <w:szCs w:val="28"/>
        </w:rPr>
        <w:t xml:space="preserve"> «Северянка»), </w:t>
      </w:r>
      <w:r>
        <w:rPr>
          <w:sz w:val="28"/>
          <w:szCs w:val="28"/>
        </w:rPr>
        <w:t xml:space="preserve">Сваткова С.А.</w:t>
      </w:r>
      <w:r>
        <w:rPr>
          <w:sz w:val="28"/>
          <w:szCs w:val="28"/>
        </w:rPr>
        <w:t xml:space="preserve"> (УСЗН), Аксеновой Т.Н. (КК),</w:t>
      </w:r>
      <w:r>
        <w:rPr>
          <w:sz w:val="28"/>
          <w:szCs w:val="28"/>
        </w:rPr>
        <w:t xml:space="preserve"> Шулика А.Р.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КДН, ЗП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Чекменевой</w:t>
      </w:r>
      <w:r>
        <w:rPr>
          <w:sz w:val="28"/>
          <w:szCs w:val="28"/>
        </w:rPr>
        <w:t xml:space="preserve"> С.А. </w:t>
      </w:r>
      <w:r>
        <w:rPr>
          <w:sz w:val="28"/>
          <w:szCs w:val="28"/>
        </w:rPr>
        <w:t xml:space="preserve">(КУ ЦЗН), Курганской И.Г. (БРБ), </w:t>
      </w:r>
      <w:r>
        <w:rPr>
          <w:sz w:val="28"/>
          <w:szCs w:val="28"/>
        </w:rPr>
        <w:t xml:space="preserve">Васильева Е.М.</w:t>
      </w:r>
      <w:r>
        <w:rPr>
          <w:sz w:val="28"/>
          <w:szCs w:val="28"/>
        </w:rPr>
        <w:t xml:space="preserve"> (Роспотребнадзор), </w:t>
      </w:r>
      <w:r>
        <w:rPr>
          <w:sz w:val="28"/>
          <w:szCs w:val="28"/>
        </w:rPr>
        <w:t xml:space="preserve">Сорокина А.А.</w:t>
      </w:r>
      <w:r>
        <w:rPr>
          <w:sz w:val="28"/>
          <w:szCs w:val="28"/>
        </w:rPr>
        <w:t xml:space="preserve"> (ОНД), Горина М.В.</w:t>
      </w:r>
      <w:r>
        <w:rPr>
          <w:sz w:val="28"/>
          <w:szCs w:val="28"/>
        </w:rPr>
        <w:t xml:space="preserve">(Росгвардия).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20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КО (Вакуленко И.В.), КДМ, ФК и с (Майборода А.В.) осуществить личный контроль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подготовки организаций отдыха детей и их оздоровления на базе подведомственных муниципальных учреждений к работе в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ериод осенних каникул 2025 года и зимних каникул 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3. Руководителям муниципальных учреждений, на базе которых в период осенних каникул 2025 года будут работать организации отдыха детей и их оздоровления, руководителям организаций отдыха детей и их оздоровления обеспечить: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1) своевременное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получение санитарно - эпидемиологических заключений о соответствии деятельности;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2) направление в адрес ОМВД по Белоярскому району не позднее, чем за 20 дней до начала работы лагеря, списков работников организаций отдыха детей и их оздоровления Белоярского района (в том числе обслуживающего персон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ала, медицинских работников, работников пищеблока), а также работников, привлекаемых для ремонтных и иных работ на территории организации отдыха детей и их оздоровления (в случае проведения таких работ), для осуществления проверки их благонадежности и нали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чия компрометирующих сведений, указав фамилию, имя, отчество и дату рождения работника; в случае замены работника другим после направления сведений в указанные сроки, дополнительно направить сведения о нем для проверки сразу же после осуществления замены;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безопасность жизни и здоровья детей в ходе проведения смены: страхование детей от несчастного случая в период нахождения в учреждении и в период следования в него и обратно; санитарно-эпидемиологическое и медицинское обеспечение;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противопожарную безопасность; антитеррористическую безопасность; безопасность в период нахождения организованных групп детей на детских игровых и спортивных площадках),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требований законодательства при организации групповых перевозок детей к месту отдыха и обратно, сопровождение и охрану общественног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порядка при перевозке организованных групп детей, следующих автотранспортом в организации отдыха детей и их оздоровления, к местам проведения культурно-массовых, спортивно-оздоровительных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и обратно, в пределах территории Белоярского района.;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4) недопущение к работе лиц, не прошедших соответствующее медицинское обследование и не получивших заключение о допуске к работе;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5)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инструктажей с сотрудниками и воспитанниками, контроль  исполнения должностной инструкции лицами, осуществляющими физическую охрану и находящимися в штате учреждения.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Руководителям муниципальных учреждений, на базе которых организуется работа лагерей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зличного типа, незамедлительно оповещать учредителей о прошедших проверках контрольных и надзорных органов, полученных предписаниях, ходе их устранения и проведенной работе по привлечению к дисциплинарной ответственности сотрудников, допустивших нарушения.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Срок: постоянно в период работы лагерей.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 w:val="0"/>
        <w:jc w:val="both"/>
        <w:keepLines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5. Утвердить график приемок организаций, работающих в период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осенних каникул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и зимних каникул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согласно приложению, к настоящему протоколу.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Членам организационного комитета районного смотра-конкурса лагерей с дневным пребыванием  на территории Белоярского района провести итоговое заседание жюри смотра-конкурса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7. КО (Вакуленко И.В.), КД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М, ФК и С (Майборода А.В.), МАУ «База спорта и отдыха «Северянка» (Якусевич О.П.), КК (Аксенова Т.Н.), УСЗН (Сватков С.А.), БРБ (Шорохов П.П.), ОДН ОМВД (Степанова Е.П.), КДН, ЗП (Шулика А.Р.), Харкавлюк С.В. (УМП ГЦТ) представить в МК ОООЗД в срок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кандидатуры лучших организаторов в сфере отдыха, оздоровления, занятости детей Белоярского района для награждения их грамотами комиссии по итогам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(в списках указать: ФИО кандидата (полностью), должность и место работы (полностью).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8. МК ОООЗД (Кавецкая С.Р.) разработать необходимые проекты постановлений в сфере организации отдыха и оздоровления детей, в срок до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года.</w:t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9. МАУ «Северянка» в срок до 01.11.2025 провести анализ реализации путевок в организации отдыха детей и их оздоровления, расположенные за пределами Белоярского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период последних 3х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разрезе показателя численности детей, имеющих место жительства в Белоярском и Октябрьском районе. Результаты представить в адрес межведомственной комиссии.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10. КО (Вак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уленко И.В.), КК (Аксенова Т.Н.), КДМ, ФК и С (Майборода А.В.), МАУ «Северянка» (Якусевич О.П.), УСЗН (Сватков С.А.) провести анализ анкетирования детей и родителей по итогам оздоровительной кампании, результаты представить на итоговом заседании комиссии.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11. Рекомендовать УСЗН (Сватков С.А.), совместно с КДН, ЗП (Шулика А.Р.), социальными педагогами образовательных организаций обеспечить достижение 50% охвата временным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трудоустройством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каникулярное время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несовершеннолетних, состоящих на различных видах учета, находящихся в СОП и ТЖС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12. МК ОООЗД (Кавецкая С.Р.) разработать алгоритм работы специалистов, участвующих в проверках организаций отдыха детей и их оздоровления. Срок : февраль 2026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200" w:line="240" w:lineRule="auto"/>
        <w:tabs>
          <w:tab w:val="left" w:pos="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13. Рекомендовать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Роспо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требнадзору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Васильев Е.М.),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ОНД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Сорокин А.А.),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Росгвардии (Ростенко М.В,)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ОНД ОМВД (Степанова Е.П.)  своевременно оповещать межведомственную комиссию, руководителей учреждений, на базе которых работают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отдыха детей и их  оздоровления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 изменениях законодательства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соответствующих сферах)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касающихся работы детских лагерей.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  <w:r/>
      <w:r>
        <w:rPr>
          <w:rFonts w:ascii="Times New Roman" w:hAnsi="Times New Roman" w:cs="Times New Roman"/>
          <w:sz w:val="26"/>
          <w:szCs w:val="26"/>
        </w:rPr>
      </w:r>
    </w:p>
    <w:p>
      <w:pPr>
        <w:pStyle w:val="861"/>
        <w:jc w:val="both"/>
        <w:tabs>
          <w:tab w:val="left" w:pos="0" w:leader="none"/>
        </w:tabs>
      </w:pPr>
      <w:r>
        <w:tab/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3544"/>
        <w:gridCol w:w="166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З</w:t>
            </w:r>
            <w:r>
              <w:rPr>
                <w:rFonts w:eastAsia="Calibri"/>
                <w:sz w:val="28"/>
                <w:szCs w:val="28"/>
              </w:rPr>
              <w:t xml:space="preserve">аместитель главы Белоярского района по социальным вопросам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/>
            </w:r>
            <w:r>
              <w:rPr>
                <w:rFonts w:eastAsia="Calibri"/>
                <w:b/>
              </w:rPr>
              <w:instrText xml:space="preserve"> SHAPE  \* MERGEFORMAT </w:instrText>
            </w:r>
            <w:r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38910" cy="817245"/>
                      <wp:effectExtent l="0" t="0" r="0" b="0"/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910" cy="81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3.30pt;height:64.3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Calibri"/>
                <w:b/>
              </w:rPr>
              <w:fldChar w:fldCharType="end"/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66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61"/>
              <w:jc w:val="both"/>
              <w:tabs>
                <w:tab w:val="left" w:pos="31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Н.В. Сокол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7" w:h="16840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360"/>
        <w:tabs>
          <w:tab w:val="num" w:pos="115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78" w:hanging="360"/>
        <w:tabs>
          <w:tab w:val="num" w:pos="187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98" w:hanging="180"/>
        <w:tabs>
          <w:tab w:val="num" w:pos="259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18" w:hanging="360"/>
        <w:tabs>
          <w:tab w:val="num" w:pos="331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38" w:hanging="360"/>
        <w:tabs>
          <w:tab w:val="num" w:pos="403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58" w:hanging="180"/>
        <w:tabs>
          <w:tab w:val="num" w:pos="475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78" w:hanging="360"/>
        <w:tabs>
          <w:tab w:val="num" w:pos="547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98" w:hanging="360"/>
        <w:tabs>
          <w:tab w:val="num" w:pos="619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18" w:hanging="180"/>
        <w:tabs>
          <w:tab w:val="num" w:pos="691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360"/>
        <w:tabs>
          <w:tab w:val="num" w:pos="81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36" w:hanging="360"/>
        <w:tabs>
          <w:tab w:val="num" w:pos="153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56" w:hanging="180"/>
        <w:tabs>
          <w:tab w:val="num" w:pos="225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76" w:hanging="360"/>
        <w:tabs>
          <w:tab w:val="num" w:pos="297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96" w:hanging="360"/>
        <w:tabs>
          <w:tab w:val="num" w:pos="369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16" w:hanging="180"/>
        <w:tabs>
          <w:tab w:val="num" w:pos="441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36" w:hanging="360"/>
        <w:tabs>
          <w:tab w:val="num" w:pos="513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56" w:hanging="360"/>
        <w:tabs>
          <w:tab w:val="num" w:pos="585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76" w:hanging="180"/>
        <w:tabs>
          <w:tab w:val="num" w:pos="6576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sz w:val="24"/>
      <w:szCs w:val="24"/>
      <w:lang w:val="ru-RU" w:eastAsia="ru-RU" w:bidi="ar-SA"/>
    </w:rPr>
  </w:style>
  <w:style w:type="paragraph" w:styleId="862">
    <w:name w:val="Заголовок 1"/>
    <w:basedOn w:val="861"/>
    <w:next w:val="861"/>
    <w:link w:val="861"/>
    <w:qFormat/>
    <w:pPr>
      <w:jc w:val="both"/>
      <w:keepNext/>
      <w:outlineLvl w:val="0"/>
    </w:pPr>
    <w:rPr>
      <w:szCs w:val="20"/>
    </w:rPr>
  </w:style>
  <w:style w:type="paragraph" w:styleId="863">
    <w:name w:val="Заголовок 6"/>
    <w:basedOn w:val="861"/>
    <w:next w:val="861"/>
    <w:link w:val="861"/>
    <w:qFormat/>
    <w:pPr>
      <w:jc w:val="center"/>
      <w:keepNext/>
      <w:outlineLvl w:val="5"/>
    </w:pPr>
    <w:rPr>
      <w:b/>
      <w:sz w:val="28"/>
      <w:szCs w:val="20"/>
    </w:rPr>
  </w:style>
  <w:style w:type="paragraph" w:styleId="864">
    <w:name w:val="Заголовок 7"/>
    <w:basedOn w:val="861"/>
    <w:next w:val="861"/>
    <w:link w:val="861"/>
    <w:qFormat/>
    <w:pPr>
      <w:jc w:val="center"/>
      <w:keepNext/>
      <w:outlineLvl w:val="6"/>
    </w:pPr>
    <w:rPr>
      <w:szCs w:val="20"/>
    </w:rPr>
  </w:style>
  <w:style w:type="character" w:styleId="865">
    <w:name w:val="Основной шрифт абзаца"/>
    <w:next w:val="865"/>
    <w:link w:val="871"/>
    <w:semiHidden/>
  </w:style>
  <w:style w:type="table" w:styleId="866">
    <w:name w:val="Обычная таблица"/>
    <w:next w:val="866"/>
    <w:link w:val="861"/>
    <w:semiHidden/>
    <w:tblPr/>
  </w:style>
  <w:style w:type="numbering" w:styleId="867">
    <w:name w:val="Нет списка"/>
    <w:next w:val="867"/>
    <w:link w:val="861"/>
    <w:semiHidden/>
  </w:style>
  <w:style w:type="paragraph" w:styleId="868">
    <w:name w:val="Normal1"/>
    <w:next w:val="868"/>
    <w:link w:val="861"/>
    <w:pPr>
      <w:spacing w:before="100" w:after="100"/>
    </w:pPr>
    <w:rPr>
      <w:sz w:val="24"/>
      <w:lang w:val="ru-RU" w:eastAsia="ru-RU" w:bidi="ar-SA"/>
    </w:rPr>
  </w:style>
  <w:style w:type="paragraph" w:styleId="869">
    <w:name w:val="Основной текст"/>
    <w:basedOn w:val="861"/>
    <w:next w:val="869"/>
    <w:link w:val="861"/>
    <w:pPr>
      <w:jc w:val="both"/>
    </w:pPr>
    <w:rPr>
      <w:szCs w:val="20"/>
    </w:rPr>
  </w:style>
  <w:style w:type="paragraph" w:styleId="870">
    <w:name w:val="Основной текст с отступом"/>
    <w:basedOn w:val="861"/>
    <w:next w:val="870"/>
    <w:link w:val="861"/>
    <w:pPr>
      <w:ind w:left="283"/>
      <w:spacing w:after="120"/>
    </w:pPr>
  </w:style>
  <w:style w:type="paragraph" w:styleId="871">
    <w:name w:val=" Знак1 Знак Знак Знак Знак Знак Знак Знак Знак1 Char"/>
    <w:basedOn w:val="861"/>
    <w:next w:val="871"/>
    <w:link w:val="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2">
    <w:name w:val="Текст выноски"/>
    <w:basedOn w:val="861"/>
    <w:next w:val="872"/>
    <w:link w:val="861"/>
    <w:semiHidden/>
    <w:rPr>
      <w:rFonts w:ascii="Tahoma" w:hAnsi="Tahoma" w:cs="Tahoma"/>
      <w:sz w:val="16"/>
      <w:szCs w:val="16"/>
    </w:rPr>
  </w:style>
  <w:style w:type="paragraph" w:styleId="873">
    <w:name w:val="Текст сноски"/>
    <w:basedOn w:val="861"/>
    <w:next w:val="873"/>
    <w:link w:val="861"/>
    <w:semiHidden/>
    <w:rPr>
      <w:rFonts w:ascii="Calibri" w:hAnsi="Calibri" w:eastAsia="Calibri"/>
      <w:sz w:val="20"/>
      <w:szCs w:val="20"/>
      <w:lang w:eastAsia="en-US"/>
    </w:rPr>
  </w:style>
  <w:style w:type="character" w:styleId="874">
    <w:name w:val="Знак сноски"/>
    <w:next w:val="874"/>
    <w:link w:val="861"/>
    <w:semiHidden/>
    <w:rPr>
      <w:vertAlign w:val="superscript"/>
    </w:rPr>
  </w:style>
  <w:style w:type="paragraph" w:styleId="875">
    <w:name w:val=" Знак"/>
    <w:basedOn w:val="861"/>
    <w:next w:val="875"/>
    <w:link w:val="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6">
    <w:name w:val="Знак1 Знак Знак Знак Знак Знак Знак Знак Знак1 Char"/>
    <w:basedOn w:val="861"/>
    <w:next w:val="876"/>
    <w:link w:val="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77">
    <w:name w:val="Сетка таблицы"/>
    <w:basedOn w:val="866"/>
    <w:next w:val="877"/>
    <w:link w:val="86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78">
    <w:name w:val="Сетка таблицы1"/>
    <w:basedOn w:val="866"/>
    <w:next w:val="877"/>
    <w:link w:val="86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МО г.Белоярский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VeretelnikkE</dc:creator>
  <cp:lastModifiedBy>KaveckayaSR</cp:lastModifiedBy>
  <cp:revision>83</cp:revision>
  <dcterms:created xsi:type="dcterms:W3CDTF">2005-04-29T02:32:00Z</dcterms:created>
  <dcterms:modified xsi:type="dcterms:W3CDTF">2025-10-02T10:21:48Z</dcterms:modified>
  <cp:version>1048576</cp:version>
</cp:coreProperties>
</file>