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highlight w:val="none"/>
        </w:rPr>
      </w:pPr>
      <w:r>
        <w:rPr>
          <w:highlight w:val="none"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highlight w:val="none"/>
        </w:rPr>
      </w:pPr>
      <w:bookmarkStart w:id="1" w:name="_GoBack"/>
      <w:bookmarkEnd w:id="1"/>
    </w:p>
    <w:p>
      <w:pPr>
        <w:pStyle w:val="3"/>
        <w:keepNext w:val="0"/>
        <w:widowControl w:val="0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>БЕЛОЯРСКИЙ РАЙОН</w:t>
      </w:r>
    </w:p>
    <w:p>
      <w:pPr>
        <w:pStyle w:val="4"/>
        <w:keepNext w:val="0"/>
        <w:widowControl w:val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>ХАНТЫ-МАНСИЙСКИЙ АВТОНОМНЫЙ ОКРУГ – ЮГРА</w:t>
      </w:r>
    </w:p>
    <w:p>
      <w:pPr>
        <w:widowControl w:val="0"/>
        <w:jc w:val="center"/>
        <w:rPr>
          <w:highlight w:val="none"/>
        </w:rPr>
      </w:pPr>
    </w:p>
    <w:p>
      <w:pPr>
        <w:widowControl w:val="0"/>
        <w:jc w:val="center"/>
        <w:rPr>
          <w:highlight w:val="none"/>
        </w:rPr>
      </w:pPr>
    </w:p>
    <w:p>
      <w:pPr>
        <w:pStyle w:val="2"/>
        <w:keepNext w:val="0"/>
        <w:widowControl w:val="0"/>
        <w:rPr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АДМИНИСТРАЦИЯ БЕЛОЯРСКОГО РАЙОНА  </w:t>
      </w:r>
    </w:p>
    <w:p>
      <w:pPr>
        <w:widowControl w:val="0"/>
        <w:jc w:val="center"/>
        <w:rPr>
          <w:highlight w:val="none"/>
        </w:rPr>
      </w:pPr>
    </w:p>
    <w:p>
      <w:pPr>
        <w:widowControl w:val="0"/>
        <w:jc w:val="center"/>
        <w:rPr>
          <w:highlight w:val="none"/>
        </w:rPr>
      </w:pPr>
      <w:r>
        <w:rPr>
          <w:highlight w:val="none"/>
        </w:rPr>
        <w:t xml:space="preserve">                                                                                                                                     ПРОЕКТ</w:t>
      </w:r>
    </w:p>
    <w:p>
      <w:pPr>
        <w:pStyle w:val="2"/>
        <w:keepNext w:val="0"/>
        <w:widowControl w:val="0"/>
        <w:rPr>
          <w:sz w:val="28"/>
          <w:highlight w:val="none"/>
        </w:rPr>
      </w:pPr>
      <w:r>
        <w:rPr>
          <w:sz w:val="28"/>
          <w:highlight w:val="none"/>
        </w:rPr>
        <w:t>ПОСТАНОВЛЕНИЕ</w:t>
      </w:r>
    </w:p>
    <w:p>
      <w:pPr>
        <w:widowControl w:val="0"/>
        <w:jc w:val="center"/>
        <w:rPr>
          <w:highlight w:val="none"/>
        </w:rPr>
      </w:pPr>
    </w:p>
    <w:p>
      <w:pPr>
        <w:widowControl w:val="0"/>
        <w:rPr>
          <w:highlight w:val="none"/>
        </w:rPr>
      </w:pPr>
      <w:r>
        <w:rPr>
          <w:highlight w:val="none"/>
        </w:rPr>
        <w:t>от  «___»  ______  2024 года</w:t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 xml:space="preserve">              № _____</w:t>
      </w:r>
    </w:p>
    <w:p>
      <w:pPr>
        <w:widowControl w:val="0"/>
        <w:jc w:val="center"/>
        <w:rPr>
          <w:highlight w:val="none"/>
        </w:rPr>
      </w:pPr>
    </w:p>
    <w:p>
      <w:pPr>
        <w:widowControl w:val="0"/>
        <w:jc w:val="center"/>
        <w:rPr>
          <w:highlight w:val="none"/>
        </w:rPr>
      </w:pPr>
    </w:p>
    <w:p>
      <w:pPr>
        <w:widowControl w:val="0"/>
        <w:shd w:val="clear" w:color="auto" w:fill="FFFFFF"/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  <w:t xml:space="preserve">О внесении изменений в приложение к постановлению администрации </w:t>
      </w:r>
    </w:p>
    <w:p>
      <w:pPr>
        <w:widowControl w:val="0"/>
        <w:shd w:val="clear" w:color="auto" w:fill="FFFFFF"/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  <w:t>Белоярского района от 31 октября 2018 года № 1050</w:t>
      </w:r>
    </w:p>
    <w:p>
      <w:pPr>
        <w:widowControl w:val="0"/>
        <w:jc w:val="center"/>
        <w:rPr>
          <w:b/>
          <w:bCs/>
          <w:highlight w:val="none"/>
        </w:rPr>
      </w:pPr>
    </w:p>
    <w:p>
      <w:pPr>
        <w:widowControl w:val="0"/>
        <w:spacing w:before="120"/>
        <w:ind w:firstLine="567"/>
        <w:jc w:val="both"/>
        <w:rPr>
          <w:bCs/>
          <w:highlight w:val="none"/>
        </w:rPr>
      </w:pPr>
      <w:r>
        <w:rPr>
          <w:highlight w:val="none"/>
        </w:rPr>
        <w:t>П</w:t>
      </w:r>
      <w:r>
        <w:rPr>
          <w:b/>
          <w:bCs/>
          <w:highlight w:val="none"/>
        </w:rPr>
        <w:t xml:space="preserve"> </w:t>
      </w:r>
      <w:r>
        <w:rPr>
          <w:bCs/>
          <w:highlight w:val="none"/>
        </w:rPr>
        <w:t>о с т а н о в л я ю:</w:t>
      </w:r>
    </w:p>
    <w:p>
      <w:pPr>
        <w:widowControl w:val="0"/>
        <w:spacing w:before="120"/>
        <w:ind w:firstLine="709"/>
        <w:contextualSpacing/>
        <w:jc w:val="both"/>
        <w:rPr>
          <w:bCs/>
          <w:highlight w:val="none"/>
        </w:rPr>
      </w:pPr>
      <w:r>
        <w:rPr>
          <w:bCs/>
          <w:highlight w:val="none"/>
        </w:rPr>
        <w:t>1. </w:t>
      </w:r>
      <w:r>
        <w:rPr>
          <w:highlight w:val="none"/>
        </w:rPr>
        <w:t>Внести в приложение «Муниципальная программа Белоярского района «Развитие</w:t>
      </w:r>
      <w:r>
        <w:rPr>
          <w:bCs/>
          <w:highlight w:val="none"/>
        </w:rPr>
        <w:t xml:space="preserve"> транспортной системы Белоярского района» (далее – Программа) к постановлению администрации Белоярского района от 31 октября 2018 года № 1050 </w:t>
      </w:r>
      <w:r>
        <w:rPr>
          <w:highlight w:val="none"/>
        </w:rPr>
        <w:t>«</w:t>
      </w:r>
      <w:r>
        <w:rPr>
          <w:bCs/>
          <w:highlight w:val="none"/>
        </w:rPr>
        <w:t xml:space="preserve">Об утверждении муниципальной программы Белоярского района </w:t>
      </w:r>
      <w:r>
        <w:rPr>
          <w:highlight w:val="none"/>
        </w:rPr>
        <w:t>«</w:t>
      </w:r>
      <w:r>
        <w:rPr>
          <w:bCs/>
          <w:highlight w:val="none"/>
        </w:rPr>
        <w:t>Развитие транспортной системы Белоярского района» следующие изменения:</w:t>
      </w:r>
    </w:p>
    <w:p>
      <w:pPr>
        <w:widowControl w:val="0"/>
        <w:spacing w:before="120"/>
        <w:ind w:firstLine="567"/>
        <w:contextualSpacing/>
        <w:jc w:val="both"/>
        <w:rPr>
          <w:highlight w:val="none"/>
        </w:rPr>
      </w:pPr>
      <w:r>
        <w:rPr>
          <w:bCs/>
          <w:highlight w:val="none"/>
        </w:rPr>
        <w:t>1) </w:t>
      </w:r>
      <w:r>
        <w:rPr>
          <w:highlight w:val="none"/>
        </w:rPr>
        <w:t>позицию паспорта Программы, касающуюся параметров финансового обеспечения Программы, изложить в следующей редакции:</w:t>
      </w:r>
    </w:p>
    <w:p>
      <w:pPr>
        <w:widowControl w:val="0"/>
        <w:autoSpaceDE w:val="0"/>
        <w:autoSpaceDN w:val="0"/>
        <w:adjustRightInd w:val="0"/>
        <w:ind w:left="709" w:hanging="709"/>
        <w:rPr>
          <w:highlight w:val="none"/>
        </w:rPr>
      </w:pPr>
      <w:r>
        <w:rPr>
          <w:highlight w:val="none"/>
        </w:rPr>
        <w:t>«</w:t>
      </w:r>
    </w:p>
    <w:tbl>
      <w:tblPr>
        <w:tblStyle w:val="6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widowControl w:val="0"/>
              <w:rPr>
                <w:highlight w:val="none"/>
              </w:rPr>
            </w:pPr>
            <w:r>
              <w:rPr>
                <w:highlight w:val="none"/>
              </w:rPr>
              <w:t>Параметры финансового обеспечения муниципальной программы</w:t>
            </w:r>
          </w:p>
        </w:tc>
        <w:tc>
          <w:tcPr>
            <w:tcW w:w="7513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Общий объем финансирования муниципальной программы на 2019 - 2026 годы составляет </w:t>
            </w:r>
            <w:r>
              <w:rPr>
                <w:bCs/>
                <w:highlight w:val="none"/>
              </w:rPr>
              <w:t>1 546 765,4</w:t>
            </w:r>
            <w:r>
              <w:rPr>
                <w:bCs/>
                <w:highlight w:val="none"/>
              </w:rPr>
              <w:t xml:space="preserve"> тыс. рублей, в том числе: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2019 год – 148 760,1 тыс. рублей;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2020 год – 155 121,0 тыс. рублей;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2021 год – 151 630,6 тыс. рублей;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2022 год – 214 955,6 тыс. рублей;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2023 год – 191 691,3 тыс. рублей;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2024 год – </w:t>
            </w:r>
            <w:r>
              <w:rPr>
                <w:bCs/>
                <w:highlight w:val="none"/>
              </w:rPr>
              <w:t>353 705,0</w:t>
            </w:r>
            <w:r>
              <w:rPr>
                <w:bCs/>
                <w:highlight w:val="none"/>
              </w:rPr>
              <w:t xml:space="preserve"> тыс. рублей;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2025 год – </w:t>
            </w:r>
            <w:r>
              <w:rPr>
                <w:bCs/>
                <w:highlight w:val="none"/>
              </w:rPr>
              <w:t>171 359,7</w:t>
            </w:r>
            <w:r>
              <w:rPr>
                <w:bCs/>
                <w:highlight w:val="none"/>
              </w:rPr>
              <w:t xml:space="preserve"> тыс. рублей;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2026 год – 159 542,1 тыс. рублей.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1) за счет средств бюджета Белоярского района – </w:t>
            </w:r>
            <w:r>
              <w:rPr>
                <w:bCs/>
                <w:highlight w:val="none"/>
              </w:rPr>
              <w:t>1 390 614,1</w:t>
            </w:r>
            <w:r>
              <w:rPr>
                <w:bCs/>
                <w:highlight w:val="none"/>
              </w:rPr>
              <w:t xml:space="preserve"> тыс. рублей, в том числе: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2019 год – 120 109,0 тыс. рублей;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2020 год – 155 121,0 тыс. рублей;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2021 год – 151 630,6 тыс. рублей;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2022 год – 214 955,6 тыс. рублей;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2023 год – 177 191,3 тыс. рублей;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2024 год – </w:t>
            </w:r>
            <w:r>
              <w:rPr>
                <w:bCs/>
                <w:highlight w:val="none"/>
              </w:rPr>
              <w:t>240 704,8</w:t>
            </w:r>
            <w:r>
              <w:rPr>
                <w:bCs/>
                <w:highlight w:val="none"/>
              </w:rPr>
              <w:t xml:space="preserve"> тыс. рублей;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2025 год – </w:t>
            </w:r>
            <w:r>
              <w:rPr>
                <w:bCs/>
                <w:highlight w:val="none"/>
              </w:rPr>
              <w:t>171 359,7</w:t>
            </w:r>
            <w:r>
              <w:rPr>
                <w:bCs/>
                <w:highlight w:val="none"/>
              </w:rPr>
              <w:t xml:space="preserve"> тыс. рублей;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2026 год – 159 542,1 тыс. рублей.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2) за счет средств бюджета Ханты-Мансийского автономного округа-Югры (далее-бюджет автономного округа) – 156 151,3 тыс. рублей, в том числе: 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none"/>
              </w:rPr>
            </w:pPr>
            <w:r>
              <w:rPr>
                <w:bCs/>
                <w:highlight w:val="none"/>
              </w:rPr>
              <w:t>2019 год – 28 651,1 тыс. рублей;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2023 год – 14 500,0 </w:t>
            </w:r>
            <w:r>
              <w:rPr>
                <w:bCs/>
                <w:highlight w:val="none"/>
              </w:rPr>
              <w:t>тыс. рублей;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2024 год – </w:t>
            </w:r>
            <w:r>
              <w:rPr>
                <w:highlight w:val="none"/>
              </w:rPr>
              <w:t>113 000,2 тыс.рублей.</w:t>
            </w:r>
          </w:p>
        </w:tc>
      </w:tr>
    </w:tbl>
    <w:p>
      <w:pPr>
        <w:widowControl w:val="0"/>
        <w:autoSpaceDE w:val="0"/>
        <w:autoSpaceDN w:val="0"/>
        <w:adjustRightInd w:val="0"/>
        <w:ind w:right="-284" w:firstLine="851"/>
        <w:jc w:val="right"/>
        <w:rPr>
          <w:highlight w:val="none"/>
        </w:rPr>
      </w:pPr>
      <w:r>
        <w:rPr>
          <w:highlight w:val="none"/>
        </w:rPr>
        <w:t>»;</w:t>
      </w:r>
    </w:p>
    <w:p>
      <w:pPr>
        <w:widowControl w:val="0"/>
        <w:autoSpaceDE w:val="0"/>
        <w:autoSpaceDN w:val="0"/>
        <w:adjustRightInd w:val="0"/>
        <w:ind w:firstLine="567"/>
        <w:jc w:val="both"/>
        <w:rPr>
          <w:highlight w:val="none"/>
        </w:rPr>
      </w:pPr>
      <w:r>
        <w:rPr>
          <w:highlight w:val="none"/>
        </w:rPr>
        <w:t>2) таблицу 4 «Распределение финансовых ресурсов муниципальной программы» Программы изложить в редакции согласно приложению 1 к настоящему постановлению;</w:t>
      </w:r>
    </w:p>
    <w:p>
      <w:pPr>
        <w:widowControl w:val="0"/>
        <w:autoSpaceDE w:val="0"/>
        <w:autoSpaceDN w:val="0"/>
        <w:adjustRightInd w:val="0"/>
        <w:ind w:firstLine="567"/>
        <w:jc w:val="both"/>
        <w:rPr>
          <w:highlight w:val="none"/>
        </w:rPr>
      </w:pPr>
      <w:r>
        <w:rPr>
          <w:highlight w:val="none"/>
        </w:rPr>
        <w:t>3) таблицу 6 «Перечень реализуемых объектов» Программы изложить в редакции согласно приложению 2 к настоящему постановлению.</w:t>
      </w:r>
    </w:p>
    <w:p>
      <w:pPr>
        <w:widowControl w:val="0"/>
        <w:autoSpaceDE w:val="0"/>
        <w:autoSpaceDN w:val="0"/>
        <w:adjustRightInd w:val="0"/>
        <w:ind w:firstLine="567"/>
        <w:jc w:val="both"/>
        <w:rPr>
          <w:highlight w:val="none"/>
        </w:rPr>
      </w:pPr>
      <w:r>
        <w:rPr>
          <w:highlight w:val="none"/>
        </w:rPr>
        <w:t>2. Опубликовать настоящее постановление в газете «Белоярские вести. Официальный выпуск».</w:t>
      </w:r>
    </w:p>
    <w:p>
      <w:pPr>
        <w:widowControl w:val="0"/>
        <w:autoSpaceDE w:val="0"/>
        <w:autoSpaceDN w:val="0"/>
        <w:adjustRightInd w:val="0"/>
        <w:ind w:firstLine="567"/>
        <w:jc w:val="both"/>
        <w:rPr>
          <w:highlight w:val="none"/>
        </w:rPr>
      </w:pPr>
      <w:r>
        <w:rPr>
          <w:highlight w:val="none"/>
        </w:rPr>
        <w:t>3. Настоящее постановление вступает в силу после его официального опубликования.</w:t>
      </w:r>
    </w:p>
    <w:p>
      <w:pPr>
        <w:widowControl w:val="0"/>
        <w:autoSpaceDE w:val="0"/>
        <w:autoSpaceDN w:val="0"/>
        <w:adjustRightInd w:val="0"/>
        <w:ind w:firstLine="567"/>
        <w:jc w:val="both"/>
        <w:rPr>
          <w:highlight w:val="none"/>
        </w:rPr>
      </w:pPr>
      <w:r>
        <w:rPr>
          <w:highlight w:val="none"/>
        </w:rPr>
        <w:t>4. Контроль за выполнением постановления возложить на заместителя главы Белоярского района Ващука В.А.</w:t>
      </w:r>
    </w:p>
    <w:p>
      <w:pPr>
        <w:widowControl w:val="0"/>
        <w:jc w:val="both"/>
        <w:rPr>
          <w:highlight w:val="none"/>
        </w:rPr>
      </w:pPr>
    </w:p>
    <w:p>
      <w:pPr>
        <w:widowControl w:val="0"/>
        <w:jc w:val="both"/>
        <w:rPr>
          <w:highlight w:val="none"/>
        </w:rPr>
      </w:pPr>
    </w:p>
    <w:p>
      <w:pPr>
        <w:widowControl w:val="0"/>
        <w:jc w:val="both"/>
        <w:rPr>
          <w:highlight w:val="none"/>
        </w:rPr>
      </w:pPr>
    </w:p>
    <w:p>
      <w:pPr>
        <w:widowControl w:val="0"/>
        <w:jc w:val="both"/>
        <w:rPr>
          <w:highlight w:val="none"/>
        </w:rPr>
      </w:pPr>
      <w:r>
        <w:rPr>
          <w:highlight w:val="none"/>
        </w:rPr>
        <w:t>Глава Белоярского района</w:t>
      </w:r>
    </w:p>
    <w:p>
      <w:pPr>
        <w:widowControl w:val="0"/>
        <w:jc w:val="right"/>
        <w:rPr>
          <w:highlight w:val="none"/>
        </w:rPr>
      </w:pPr>
      <w:r>
        <w:rPr>
          <w:highlight w:val="none"/>
        </w:rPr>
        <w:t>С.П. Маненков</w:t>
      </w:r>
    </w:p>
    <w:p>
      <w:pPr>
        <w:pStyle w:val="18"/>
        <w:ind w:firstLine="0"/>
        <w:jc w:val="both"/>
        <w:rPr>
          <w:bCs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</w:p>
    <w:p>
      <w:pPr>
        <w:widowControl w:val="0"/>
        <w:ind w:firstLine="8505"/>
        <w:jc w:val="center"/>
        <w:rPr>
          <w:rFonts w:ascii="Times New Roman CYR" w:hAnsi="Times New Roman CYR" w:cs="Times New Roman CYR"/>
          <w:sz w:val="20"/>
          <w:szCs w:val="20"/>
          <w:highlight w:val="none"/>
        </w:rPr>
        <w:sectPr>
          <w:pgSz w:w="11907" w:h="16840"/>
          <w:pgMar w:top="851" w:right="1276" w:bottom="426" w:left="1559" w:header="709" w:footer="709" w:gutter="0"/>
          <w:cols w:space="708" w:num="1"/>
          <w:titlePg/>
          <w:docGrid w:linePitch="254" w:charSpace="0"/>
        </w:sectPr>
      </w:pPr>
    </w:p>
    <w:p>
      <w:pPr>
        <w:widowControl w:val="0"/>
        <w:wordWrap w:val="0"/>
        <w:ind w:right="95"/>
        <w:jc w:val="right"/>
        <w:rPr>
          <w:rFonts w:ascii="Times New Roman CYR" w:hAnsi="Times New Roman CYR" w:cs="Times New Roman CYR"/>
          <w:sz w:val="22"/>
          <w:highlight w:val="none"/>
        </w:rPr>
      </w:pPr>
      <w:r>
        <w:rPr>
          <w:rFonts w:ascii="Times New Roman CYR" w:hAnsi="Times New Roman CYR" w:cs="Times New Roman CYR"/>
          <w:sz w:val="22"/>
          <w:highlight w:val="none"/>
        </w:rPr>
        <w:t>ПРИЛОЖЕНИЕ 1</w:t>
      </w:r>
    </w:p>
    <w:p>
      <w:pPr>
        <w:widowControl w:val="0"/>
        <w:ind w:right="95"/>
        <w:jc w:val="right"/>
        <w:rPr>
          <w:rFonts w:ascii="Times New Roman CYR" w:hAnsi="Times New Roman CYR" w:cs="Times New Roman CYR"/>
          <w:sz w:val="22"/>
          <w:highlight w:val="none"/>
        </w:rPr>
      </w:pPr>
      <w:r>
        <w:rPr>
          <w:rFonts w:ascii="Times New Roman CYR" w:hAnsi="Times New Roman CYR" w:cs="Times New Roman CYR"/>
          <w:sz w:val="22"/>
          <w:highlight w:val="none"/>
        </w:rPr>
        <w:t>к постановлению администрации Белоярского района</w:t>
      </w:r>
    </w:p>
    <w:p>
      <w:pPr>
        <w:widowControl w:val="0"/>
        <w:ind w:right="95"/>
        <w:jc w:val="right"/>
        <w:rPr>
          <w:rFonts w:ascii="Times New Roman CYR" w:hAnsi="Times New Roman CYR" w:cs="Times New Roman CYR"/>
          <w:sz w:val="22"/>
          <w:highlight w:val="none"/>
        </w:rPr>
      </w:pPr>
      <w:r>
        <w:rPr>
          <w:rFonts w:ascii="Times New Roman CYR" w:hAnsi="Times New Roman CYR" w:cs="Times New Roman CYR"/>
          <w:sz w:val="22"/>
          <w:highlight w:val="none"/>
        </w:rPr>
        <w:t>от «__» _______________ 2024 года №_____</w:t>
      </w:r>
    </w:p>
    <w:p>
      <w:pPr>
        <w:widowControl w:val="0"/>
        <w:ind w:right="95"/>
        <w:jc w:val="center"/>
        <w:rPr>
          <w:rFonts w:ascii="Times New Roman CYR" w:hAnsi="Times New Roman CYR" w:cs="Times New Roman CYR"/>
          <w:sz w:val="22"/>
          <w:highlight w:val="none"/>
        </w:rPr>
      </w:pPr>
    </w:p>
    <w:p>
      <w:pPr>
        <w:widowControl w:val="0"/>
        <w:ind w:right="95"/>
        <w:jc w:val="center"/>
        <w:rPr>
          <w:rFonts w:ascii="Times New Roman CYR" w:hAnsi="Times New Roman CYR" w:cs="Times New Roman CYR"/>
          <w:highlight w:val="none"/>
        </w:rPr>
      </w:pPr>
      <w:r>
        <w:rPr>
          <w:rFonts w:ascii="Times New Roman CYR" w:hAnsi="Times New Roman CYR" w:cs="Times New Roman CYR"/>
          <w:highlight w:val="none"/>
        </w:rPr>
        <w:t>И З М Е Н Е Н И Я,</w:t>
      </w:r>
    </w:p>
    <w:p>
      <w:pPr>
        <w:widowControl w:val="0"/>
        <w:ind w:right="95"/>
        <w:jc w:val="center"/>
        <w:rPr>
          <w:rFonts w:ascii="Times New Roman CYR" w:hAnsi="Times New Roman CYR" w:cs="Times New Roman CYR"/>
          <w:highlight w:val="none"/>
        </w:rPr>
      </w:pPr>
      <w:r>
        <w:rPr>
          <w:rFonts w:ascii="Times New Roman CYR" w:hAnsi="Times New Roman CYR" w:cs="Times New Roman CYR"/>
          <w:highlight w:val="none"/>
        </w:rPr>
        <w:t>вносимые в таблицу 4 муниципальной программы Белоярского района</w:t>
      </w:r>
    </w:p>
    <w:p>
      <w:pPr>
        <w:widowControl w:val="0"/>
        <w:ind w:right="95"/>
        <w:jc w:val="center"/>
        <w:rPr>
          <w:rFonts w:ascii="Times New Roman CYR" w:hAnsi="Times New Roman CYR" w:cs="Times New Roman CYR"/>
          <w:highlight w:val="none"/>
        </w:rPr>
      </w:pPr>
      <w:r>
        <w:rPr>
          <w:rFonts w:ascii="Times New Roman CYR" w:hAnsi="Times New Roman CYR" w:cs="Times New Roman CYR"/>
          <w:highlight w:val="none"/>
        </w:rPr>
        <w:t>«Развитие транспортной системы Белоярского района»</w:t>
      </w:r>
    </w:p>
    <w:p>
      <w:pPr>
        <w:widowControl w:val="0"/>
        <w:ind w:right="-29"/>
        <w:jc w:val="right"/>
        <w:rPr>
          <w:rFonts w:ascii="Times New Roman CYR" w:hAnsi="Times New Roman CYR" w:cs="Times New Roman CYR"/>
          <w:highlight w:val="none"/>
        </w:rPr>
      </w:pPr>
      <w:r>
        <w:rPr>
          <w:rFonts w:ascii="Times New Roman CYR" w:hAnsi="Times New Roman CYR" w:cs="Times New Roman CYR"/>
          <w:highlight w:val="none"/>
        </w:rPr>
        <w:t xml:space="preserve">    «Таблица 4</w:t>
      </w:r>
    </w:p>
    <w:p>
      <w:pPr>
        <w:widowControl w:val="0"/>
        <w:autoSpaceDE w:val="0"/>
        <w:autoSpaceDN w:val="0"/>
        <w:adjustRightInd w:val="0"/>
        <w:ind w:firstLine="540"/>
        <w:jc w:val="center"/>
        <w:rPr>
          <w:b/>
          <w:highlight w:val="none"/>
        </w:rPr>
      </w:pPr>
      <w:r>
        <w:rPr>
          <w:b/>
          <w:highlight w:val="none"/>
        </w:rPr>
        <w:t>Распределение финансовых ресурсов муниципальной программы</w:t>
      </w:r>
    </w:p>
    <w:p>
      <w:pPr>
        <w:widowControl w:val="0"/>
        <w:autoSpaceDE w:val="0"/>
        <w:autoSpaceDN w:val="0"/>
        <w:adjustRightInd w:val="0"/>
        <w:ind w:firstLine="540"/>
        <w:jc w:val="center"/>
        <w:rPr>
          <w:b/>
          <w:highlight w:val="none"/>
        </w:rPr>
      </w:pPr>
    </w:p>
    <w:tbl>
      <w:tblPr>
        <w:tblStyle w:val="6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268"/>
        <w:gridCol w:w="1417"/>
        <w:gridCol w:w="1276"/>
        <w:gridCol w:w="1276"/>
        <w:gridCol w:w="992"/>
        <w:gridCol w:w="66"/>
        <w:gridCol w:w="926"/>
        <w:gridCol w:w="993"/>
        <w:gridCol w:w="992"/>
        <w:gridCol w:w="1134"/>
        <w:gridCol w:w="1045"/>
        <w:gridCol w:w="1081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bookmarkStart w:id="0" w:name="RANGE!A1:M38"/>
            <w:r>
              <w:rPr>
                <w:sz w:val="18"/>
                <w:szCs w:val="18"/>
                <w:highlight w:val="none"/>
              </w:rPr>
              <w:t>Номер основного мероприятия</w:t>
            </w:r>
            <w:bookmarkEnd w:id="0"/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Источники финансирования</w:t>
            </w:r>
          </w:p>
        </w:tc>
        <w:tc>
          <w:tcPr>
            <w:tcW w:w="96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Объем бюджетных ассигнований на реализацию муниципальной программы, (тыс.рублей)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Всего</w:t>
            </w:r>
          </w:p>
        </w:tc>
        <w:tc>
          <w:tcPr>
            <w:tcW w:w="83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в том числе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2019 год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2023 год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2024 год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2026 год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5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Подпрограмма 1 «Развитие, совершенствование сети автомобильных дорог в Белоярском районе»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Строительство (реконструкция), капитальный ремонт и ремонт автомобильных дорог общего пользования местного значения</w:t>
            </w:r>
          </w:p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(1-8)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УКС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472 838,7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37 519,8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37 309,7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30 856,0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92 590,1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47 476,8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202 877,0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19 309,3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4 900,0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156 151,3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28 651,1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14 500,0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113 000,2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316 687,4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8 868,7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37 309,7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30 856,0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92 590,1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32 976,8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89 876,8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19 309,3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4 900,0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1.1.1.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УКС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183 958,6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83 538,9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12 918,9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86 200,8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40 010,8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40 010,8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143 947,8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83 538,9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12 918,9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46 190,0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1.1.1.1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Устройство стационарного электроосвещения автомобильных дорог г. Белоярский (а/д Подъездная, а/д Объездная, ул. Ратькова)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УКС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80 423,7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80 423,7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40 010,8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40 010,8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40 412,9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40 412,9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1.1.2.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Капитальный ремонт автомобильных дорог общего пользования местного значения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УКС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178 742,5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3 299,1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34 557,9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116 676,2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19 309,3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4 900,0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87 489,4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14 500,0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72 989,4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91 253,1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3 299,1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20 057,9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43 686,8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19 309,3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4 900,0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1.1.3.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УКС, УТиС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110 137,6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37 519,8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37 309,7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29 556,0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5 752,1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28 651,1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81 486,5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8 868,7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37 309,7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29 556,0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5 752,1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Итого по подпрограмме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472 838,7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37 519,8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37 309,7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30 856,0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92 590,1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47 476,8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202 877,0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19 309,3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4 900,0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5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156 151,3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28 651,1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14 500,0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113 000,2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5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316 687,4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8 868,7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37 309,7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30 856,0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92 590,1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32 976,8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89 876,8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19 309,3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4 900,0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Подпрограмма 2 «Организация транспортного обслуживания населения Белоярского района»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2.1.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Создание условий для предоставления транспортных услуг, организации транспортного обслуживания населения Белоярского района (9-11)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УТиС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559 609,1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61 910,5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65 575,4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67 532,8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65 472,5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71 371,1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75 672,0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76 037,4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76 037,4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2.1.1.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Воздушным транспортом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УТиС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294 109,4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32 296,6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34 904,0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36 300,2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34 017,0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37 044,6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39 849,0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39 849,0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39 849,0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2.1.2.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Автомобильным транспортом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УТиС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206 736,7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23 414,1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24 449,0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25 035,0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24 236,0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25 464,0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27 802,6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28 168,0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28 168,0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2.1.3.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Водным транспортом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УТиС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42 134,0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4 623,9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4 646,4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4 558,6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5 474,2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5 884,8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5 648,7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5 648,7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5 648,7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2.1.4.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Содержание вертолетных площадок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УТиС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16 629,0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1 575,9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1 576,0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1 639,0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1 745,3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2 977,7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2 371,7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2 371,7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2 371,7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Итого по подпрограмме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559 609,1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61 910,5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65 575,4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67 532,8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65 472,5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71 371,1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75 672,0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76 037,4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76 037,4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4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Подпрограмма 3 «Повышение безопасности дорожного движения в Белоярском районе»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3.1.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Создание условий для обеспечения безопасности дорожного движения (12-16)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УтиС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514 317,6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49 329,8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52 235,9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53 241,8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56 893,0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72 843,4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75 156,0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76 013,0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78 604,7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3.1.1.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Ремонт технических средств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УТиС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30 352,6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5 061,5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3 820,8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3 802,0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4 712,2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3 943,1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4 506,5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4 506,5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3.1.2.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Содержание автомобильных дорог*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УТиС, УКС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483 965,0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44 268,3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48 415,1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49 439,8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52 180,8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68 900,3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75 156,0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71 506,5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74 098,2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Итого по подпрограмме 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514 317,6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49 329,8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52 235,9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53 241,8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56 893,0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72 843,4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75 156,0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76 013,0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78 604,7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Всего: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1 546 765,4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148 760,1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155 121,0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151 630,6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214 955,6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191 691,3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353 705,0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171 359,7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159 542,1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5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156 151,3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28 651,1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14 500,0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113 000,2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5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1 390 614,1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120 109,0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155 121,0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151 630,6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214 955,6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177 191,3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240 704,8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171 359,7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  <w:t>159 542,1</w:t>
            </w:r>
          </w:p>
        </w:tc>
      </w:tr>
    </w:tbl>
    <w:p>
      <w:pPr>
        <w:ind w:left="567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*в том числе  реализация общественных инициатив с применением механизмов партисипаторного бюджетирования.</w:t>
      </w:r>
    </w:p>
    <w:p>
      <w:pPr>
        <w:widowControl w:val="0"/>
        <w:ind w:right="-313"/>
        <w:jc w:val="right"/>
        <w:rPr>
          <w:highlight w:val="none"/>
        </w:rPr>
      </w:pPr>
    </w:p>
    <w:p>
      <w:pPr>
        <w:widowControl w:val="0"/>
        <w:ind w:right="-313"/>
        <w:jc w:val="right"/>
        <w:rPr>
          <w:highlight w:val="none"/>
        </w:rPr>
      </w:pPr>
      <w:r>
        <w:rPr>
          <w:highlight w:val="none"/>
        </w:rPr>
        <w:t>».</w:t>
      </w:r>
    </w:p>
    <w:p>
      <w:pPr>
        <w:widowControl w:val="0"/>
        <w:ind w:right="-313"/>
        <w:jc w:val="right"/>
        <w:rPr>
          <w:highlight w:val="none"/>
        </w:rPr>
      </w:pPr>
    </w:p>
    <w:p>
      <w:pPr>
        <w:widowControl w:val="0"/>
        <w:ind w:right="-313"/>
        <w:jc w:val="right"/>
        <w:rPr>
          <w:highlight w:val="none"/>
        </w:rPr>
      </w:pPr>
    </w:p>
    <w:p>
      <w:pPr>
        <w:widowControl w:val="0"/>
        <w:ind w:right="-313"/>
        <w:jc w:val="right"/>
        <w:rPr>
          <w:highlight w:val="none"/>
        </w:rPr>
      </w:pPr>
    </w:p>
    <w:p>
      <w:pPr>
        <w:widowControl w:val="0"/>
        <w:ind w:right="-313"/>
        <w:jc w:val="right"/>
        <w:rPr>
          <w:highlight w:val="none"/>
        </w:rPr>
      </w:pPr>
    </w:p>
    <w:p>
      <w:pPr>
        <w:widowControl w:val="0"/>
        <w:ind w:right="-313"/>
        <w:jc w:val="right"/>
        <w:rPr>
          <w:highlight w:val="none"/>
        </w:rPr>
      </w:pPr>
    </w:p>
    <w:p>
      <w:pPr>
        <w:widowControl w:val="0"/>
        <w:ind w:right="-313"/>
        <w:jc w:val="right"/>
        <w:rPr>
          <w:highlight w:val="none"/>
        </w:rPr>
      </w:pPr>
    </w:p>
    <w:p>
      <w:pPr>
        <w:widowControl w:val="0"/>
        <w:ind w:right="-313"/>
        <w:jc w:val="right"/>
        <w:rPr>
          <w:highlight w:val="none"/>
        </w:rPr>
      </w:pPr>
    </w:p>
    <w:p>
      <w:pPr>
        <w:widowControl w:val="0"/>
        <w:wordWrap w:val="0"/>
        <w:ind w:right="95"/>
        <w:jc w:val="right"/>
        <w:rPr>
          <w:rFonts w:ascii="Times New Roman CYR" w:hAnsi="Times New Roman CYR" w:cs="Times New Roman CYR"/>
          <w:sz w:val="22"/>
          <w:highlight w:val="none"/>
        </w:rPr>
      </w:pPr>
      <w:r>
        <w:rPr>
          <w:rFonts w:ascii="Times New Roman CYR" w:hAnsi="Times New Roman CYR" w:cs="Times New Roman CYR"/>
          <w:sz w:val="22"/>
          <w:highlight w:val="none"/>
        </w:rPr>
        <w:t>ПРИЛОЖЕНИЕ 2</w:t>
      </w:r>
    </w:p>
    <w:p>
      <w:pPr>
        <w:widowControl w:val="0"/>
        <w:ind w:right="95"/>
        <w:jc w:val="right"/>
        <w:rPr>
          <w:rFonts w:ascii="Times New Roman CYR" w:hAnsi="Times New Roman CYR" w:cs="Times New Roman CYR"/>
          <w:sz w:val="22"/>
          <w:highlight w:val="none"/>
        </w:rPr>
      </w:pPr>
      <w:r>
        <w:rPr>
          <w:rFonts w:ascii="Times New Roman CYR" w:hAnsi="Times New Roman CYR" w:cs="Times New Roman CYR"/>
          <w:sz w:val="22"/>
          <w:highlight w:val="none"/>
        </w:rPr>
        <w:t>к постановлению администрации Белоярского района</w:t>
      </w:r>
    </w:p>
    <w:p>
      <w:pPr>
        <w:widowControl w:val="0"/>
        <w:ind w:right="95"/>
        <w:jc w:val="right"/>
        <w:rPr>
          <w:rFonts w:ascii="Times New Roman CYR" w:hAnsi="Times New Roman CYR" w:cs="Times New Roman CYR"/>
          <w:sz w:val="22"/>
          <w:highlight w:val="none"/>
        </w:rPr>
      </w:pPr>
      <w:r>
        <w:rPr>
          <w:rFonts w:ascii="Times New Roman CYR" w:hAnsi="Times New Roman CYR" w:cs="Times New Roman CYR"/>
          <w:sz w:val="22"/>
          <w:highlight w:val="none"/>
        </w:rPr>
        <w:t>от «__» _______________ 2024 года №_____</w:t>
      </w:r>
    </w:p>
    <w:p>
      <w:pPr>
        <w:widowControl w:val="0"/>
        <w:ind w:right="95"/>
        <w:jc w:val="center"/>
        <w:rPr>
          <w:rFonts w:ascii="Times New Roman CYR" w:hAnsi="Times New Roman CYR" w:cs="Times New Roman CYR"/>
          <w:sz w:val="22"/>
          <w:highlight w:val="none"/>
        </w:rPr>
      </w:pPr>
    </w:p>
    <w:p>
      <w:pPr>
        <w:widowControl w:val="0"/>
        <w:ind w:right="95"/>
        <w:jc w:val="center"/>
        <w:rPr>
          <w:rFonts w:ascii="Times New Roman CYR" w:hAnsi="Times New Roman CYR" w:cs="Times New Roman CYR"/>
          <w:highlight w:val="none"/>
        </w:rPr>
      </w:pPr>
      <w:r>
        <w:rPr>
          <w:rFonts w:ascii="Times New Roman CYR" w:hAnsi="Times New Roman CYR" w:cs="Times New Roman CYR"/>
          <w:highlight w:val="none"/>
        </w:rPr>
        <w:t>И З М Е Н Е Н И Я,</w:t>
      </w:r>
    </w:p>
    <w:p>
      <w:pPr>
        <w:widowControl w:val="0"/>
        <w:ind w:right="95"/>
        <w:jc w:val="center"/>
        <w:rPr>
          <w:rFonts w:ascii="Times New Roman CYR" w:hAnsi="Times New Roman CYR" w:cs="Times New Roman CYR"/>
          <w:highlight w:val="none"/>
        </w:rPr>
      </w:pPr>
      <w:r>
        <w:rPr>
          <w:rFonts w:ascii="Times New Roman CYR" w:hAnsi="Times New Roman CYR" w:cs="Times New Roman CYR"/>
          <w:highlight w:val="none"/>
        </w:rPr>
        <w:t>вносимые в таблицу 6 муниципальной программы Белоярского района</w:t>
      </w:r>
    </w:p>
    <w:p>
      <w:pPr>
        <w:widowControl w:val="0"/>
        <w:ind w:right="95"/>
        <w:jc w:val="center"/>
        <w:rPr>
          <w:rFonts w:ascii="Times New Roman CYR" w:hAnsi="Times New Roman CYR" w:cs="Times New Roman CYR"/>
          <w:highlight w:val="none"/>
        </w:rPr>
      </w:pPr>
      <w:r>
        <w:rPr>
          <w:rFonts w:ascii="Times New Roman CYR" w:hAnsi="Times New Roman CYR" w:cs="Times New Roman CYR"/>
          <w:highlight w:val="none"/>
        </w:rPr>
        <w:t>«Развитие транспортной системы Белоярского района»</w:t>
      </w:r>
    </w:p>
    <w:p>
      <w:pPr>
        <w:widowControl w:val="0"/>
        <w:ind w:right="-29"/>
        <w:jc w:val="right"/>
        <w:rPr>
          <w:rFonts w:ascii="Times New Roman CYR" w:hAnsi="Times New Roman CYR" w:cs="Times New Roman CYR"/>
          <w:highlight w:val="none"/>
        </w:rPr>
      </w:pPr>
      <w:r>
        <w:rPr>
          <w:rFonts w:ascii="Times New Roman CYR" w:hAnsi="Times New Roman CYR" w:cs="Times New Roman CYR"/>
          <w:highlight w:val="none"/>
        </w:rPr>
        <w:t>«Таблица 6</w:t>
      </w:r>
    </w:p>
    <w:p>
      <w:pPr>
        <w:autoSpaceDE w:val="0"/>
        <w:autoSpaceDN w:val="0"/>
        <w:adjustRightInd w:val="0"/>
        <w:jc w:val="right"/>
        <w:outlineLvl w:val="1"/>
        <w:rPr>
          <w:highlight w:val="none"/>
        </w:rPr>
      </w:pPr>
    </w:p>
    <w:p>
      <w:pPr>
        <w:autoSpaceDE w:val="0"/>
        <w:autoSpaceDN w:val="0"/>
        <w:adjustRightInd w:val="0"/>
        <w:jc w:val="center"/>
        <w:rPr>
          <w:b/>
          <w:highlight w:val="none"/>
        </w:rPr>
      </w:pPr>
      <w:r>
        <w:rPr>
          <w:b/>
          <w:highlight w:val="none"/>
        </w:rPr>
        <w:t>Перечень реализуемых объектов</w:t>
      </w:r>
    </w:p>
    <w:tbl>
      <w:tblPr>
        <w:tblStyle w:val="6"/>
        <w:tblW w:w="15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3883"/>
        <w:gridCol w:w="1843"/>
        <w:gridCol w:w="2411"/>
        <w:gridCol w:w="1417"/>
        <w:gridCol w:w="2569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atLeast"/>
          <w:jc w:val="center"/>
        </w:trPr>
        <w:tc>
          <w:tcPr>
            <w:tcW w:w="709" w:type="dxa"/>
            <w:vAlign w:val="center"/>
          </w:tcPr>
          <w:p>
            <w:pPr>
              <w:pStyle w:val="1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№ п/п</w:t>
            </w:r>
          </w:p>
        </w:tc>
        <w:tc>
          <w:tcPr>
            <w:tcW w:w="3883" w:type="dxa"/>
            <w:vAlign w:val="center"/>
          </w:tcPr>
          <w:p>
            <w:pPr>
              <w:pStyle w:val="1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Наименование объекта</w:t>
            </w:r>
          </w:p>
        </w:tc>
        <w:tc>
          <w:tcPr>
            <w:tcW w:w="1843" w:type="dxa"/>
            <w:vAlign w:val="center"/>
          </w:tcPr>
          <w:p>
            <w:pPr>
              <w:pStyle w:val="1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Мощность</w:t>
            </w:r>
          </w:p>
        </w:tc>
        <w:tc>
          <w:tcPr>
            <w:tcW w:w="2411" w:type="dxa"/>
            <w:vAlign w:val="center"/>
          </w:tcPr>
          <w:p>
            <w:pPr>
              <w:pStyle w:val="1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Срок строительства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Механизм реализации</w:t>
            </w:r>
          </w:p>
        </w:tc>
        <w:tc>
          <w:tcPr>
            <w:tcW w:w="2569" w:type="dxa"/>
            <w:vAlign w:val="center"/>
          </w:tcPr>
          <w:p>
            <w:pPr>
              <w:pStyle w:val="1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Капитальные вложения</w:t>
            </w:r>
          </w:p>
        </w:tc>
        <w:tc>
          <w:tcPr>
            <w:tcW w:w="2302" w:type="dxa"/>
            <w:vAlign w:val="center"/>
          </w:tcPr>
          <w:p>
            <w:pPr>
              <w:pStyle w:val="1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Источник финансирования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1" w:hRule="atLeast"/>
          <w:jc w:val="center"/>
        </w:trPr>
        <w:tc>
          <w:tcPr>
            <w:tcW w:w="709" w:type="dxa"/>
            <w:vAlign w:val="center"/>
          </w:tcPr>
          <w:p>
            <w:pPr>
              <w:pStyle w:val="1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883" w:type="dxa"/>
            <w:vAlign w:val="center"/>
          </w:tcPr>
          <w:p>
            <w:pPr>
              <w:pStyle w:val="1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pStyle w:val="1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411" w:type="dxa"/>
          </w:tcPr>
          <w:p>
            <w:pPr>
              <w:pStyle w:val="1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417" w:type="dxa"/>
          </w:tcPr>
          <w:p>
            <w:pPr>
              <w:pStyle w:val="1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569" w:type="dxa"/>
          </w:tcPr>
          <w:p>
            <w:pPr>
              <w:pStyle w:val="1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302" w:type="dxa"/>
          </w:tcPr>
          <w:p>
            <w:pPr>
              <w:pStyle w:val="1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1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  <w:t>1</w:t>
            </w:r>
          </w:p>
        </w:tc>
        <w:tc>
          <w:tcPr>
            <w:tcW w:w="3883" w:type="dxa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  <w:t xml:space="preserve">Реконструкция объездной автомобильной дороги на участке в 6 микрорайоне г.Белоярский </w:t>
            </w:r>
          </w:p>
          <w:p>
            <w:pPr>
              <w:spacing w:line="276" w:lineRule="auto"/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  <w:t>(2 этап)</w:t>
            </w:r>
          </w:p>
        </w:tc>
        <w:tc>
          <w:tcPr>
            <w:tcW w:w="1843" w:type="dxa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  <w:t>0,842 км</w:t>
            </w:r>
          </w:p>
        </w:tc>
        <w:tc>
          <w:tcPr>
            <w:tcW w:w="2411" w:type="dxa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  <w:t>2021 год (ПИР);</w:t>
            </w:r>
          </w:p>
          <w:p>
            <w:pPr>
              <w:spacing w:line="276" w:lineRule="auto"/>
              <w:jc w:val="center"/>
              <w:rPr>
                <w:rFonts w:eastAsia="Calibri"/>
                <w:highlight w:val="none"/>
                <w:lang w:eastAsia="en-US"/>
              </w:rPr>
            </w:pPr>
            <w:r>
              <w:rPr>
                <w:rFonts w:eastAsia="Calibri"/>
                <w:highlight w:val="none"/>
              </w:rPr>
              <w:t>2022-2023 год (СМР).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highlight w:val="none"/>
              </w:rPr>
            </w:pPr>
            <w:r>
              <w:rPr>
                <w:highlight w:val="none"/>
              </w:rPr>
              <w:t>прямые инвестиции</w:t>
            </w:r>
          </w:p>
        </w:tc>
        <w:tc>
          <w:tcPr>
            <w:tcW w:w="2569" w:type="dxa"/>
            <w:vAlign w:val="center"/>
          </w:tcPr>
          <w:p>
            <w:pPr>
              <w:spacing w:line="276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бюджетные инвестиции в форме капитальных вложений в объекты муниципальной</w:t>
            </w:r>
          </w:p>
          <w:p>
            <w:pPr>
              <w:spacing w:line="276" w:lineRule="auto"/>
              <w:jc w:val="center"/>
              <w:rPr>
                <w:rFonts w:eastAsia="Calibri"/>
                <w:highlight w:val="none"/>
              </w:rPr>
            </w:pPr>
            <w:r>
              <w:rPr>
                <w:highlight w:val="none"/>
              </w:rPr>
              <w:t>собственности</w:t>
            </w:r>
          </w:p>
        </w:tc>
        <w:tc>
          <w:tcPr>
            <w:tcW w:w="2302" w:type="dxa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highlight w:val="none"/>
              </w:rPr>
            </w:pPr>
          </w:p>
          <w:p>
            <w:pPr>
              <w:spacing w:line="276" w:lineRule="auto"/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  <w:t>бюджет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1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  <w:t>2</w:t>
            </w:r>
          </w:p>
        </w:tc>
        <w:tc>
          <w:tcPr>
            <w:tcW w:w="3883" w:type="dxa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  <w:t>Устройство стационарного электроосвещения автомобильных дорог г.Белоярский (а/д Подъездная, а/д Объездная, ул.Ратькова)</w:t>
            </w:r>
          </w:p>
        </w:tc>
        <w:tc>
          <w:tcPr>
            <w:tcW w:w="1843" w:type="dxa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  <w:t>7,924 км</w:t>
            </w:r>
          </w:p>
        </w:tc>
        <w:tc>
          <w:tcPr>
            <w:tcW w:w="2411" w:type="dxa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  <w:t xml:space="preserve">2023 год (ПИР); </w:t>
            </w:r>
          </w:p>
          <w:p>
            <w:pPr>
              <w:spacing w:line="276" w:lineRule="auto"/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  <w:t>2024 год (СМР);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highlight w:val="none"/>
              </w:rPr>
            </w:pPr>
            <w:r>
              <w:rPr>
                <w:highlight w:val="none"/>
              </w:rPr>
              <w:t>прямые инвестиции</w:t>
            </w:r>
          </w:p>
        </w:tc>
        <w:tc>
          <w:tcPr>
            <w:tcW w:w="2569" w:type="dxa"/>
            <w:vAlign w:val="center"/>
          </w:tcPr>
          <w:p>
            <w:pPr>
              <w:spacing w:line="276" w:lineRule="auto"/>
              <w:jc w:val="center"/>
              <w:rPr>
                <w:highlight w:val="none"/>
              </w:rPr>
            </w:pPr>
            <w:r>
              <w:rPr>
                <w:highlight w:val="none"/>
              </w:rPr>
              <w:t>бюджетные инвестиции в форме капитальных вложений в объекты муниципальной</w:t>
            </w:r>
          </w:p>
          <w:p>
            <w:pPr>
              <w:spacing w:line="276" w:lineRule="auto"/>
              <w:jc w:val="center"/>
              <w:rPr>
                <w:rFonts w:eastAsia="Calibri"/>
                <w:highlight w:val="none"/>
              </w:rPr>
            </w:pPr>
            <w:r>
              <w:rPr>
                <w:highlight w:val="none"/>
              </w:rPr>
              <w:t>собственности</w:t>
            </w:r>
          </w:p>
        </w:tc>
        <w:tc>
          <w:tcPr>
            <w:tcW w:w="2302" w:type="dxa"/>
            <w:vAlign w:val="center"/>
          </w:tcPr>
          <w:p>
            <w:pPr>
              <w:spacing w:line="276" w:lineRule="auto"/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  <w:t xml:space="preserve">бюджет автономного округа, </w:t>
            </w:r>
          </w:p>
          <w:p>
            <w:pPr>
              <w:spacing w:line="276" w:lineRule="auto"/>
              <w:jc w:val="center"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  <w:t>бюджет Белоярского района</w:t>
            </w:r>
          </w:p>
        </w:tc>
      </w:tr>
    </w:tbl>
    <w:p>
      <w:pPr>
        <w:autoSpaceDE w:val="0"/>
        <w:autoSpaceDN w:val="0"/>
        <w:ind w:left="-142"/>
        <w:jc w:val="both"/>
        <w:rPr>
          <w:highlight w:val="none"/>
        </w:rPr>
      </w:pPr>
    </w:p>
    <w:p>
      <w:pPr>
        <w:widowControl w:val="0"/>
        <w:ind w:right="-313"/>
        <w:jc w:val="right"/>
        <w:rPr>
          <w:highlight w:val="none"/>
        </w:rPr>
      </w:pPr>
      <w:r>
        <w:rPr>
          <w:highlight w:val="none"/>
        </w:rPr>
        <w:t>».</w:t>
      </w:r>
    </w:p>
    <w:sectPr>
      <w:pgSz w:w="16840" w:h="11907" w:orient="landscape"/>
      <w:pgMar w:top="426" w:right="567" w:bottom="993" w:left="851" w:header="0" w:footer="0" w:gutter="0"/>
      <w:cols w:space="708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016E3"/>
    <w:rsid w:val="000033F1"/>
    <w:rsid w:val="00013CCB"/>
    <w:rsid w:val="00013E85"/>
    <w:rsid w:val="000153AA"/>
    <w:rsid w:val="000223DA"/>
    <w:rsid w:val="000322FF"/>
    <w:rsid w:val="00033531"/>
    <w:rsid w:val="00062241"/>
    <w:rsid w:val="000658F4"/>
    <w:rsid w:val="00077D14"/>
    <w:rsid w:val="00084F82"/>
    <w:rsid w:val="00086323"/>
    <w:rsid w:val="00087C23"/>
    <w:rsid w:val="00090393"/>
    <w:rsid w:val="00091686"/>
    <w:rsid w:val="0009310A"/>
    <w:rsid w:val="00096543"/>
    <w:rsid w:val="000A03E3"/>
    <w:rsid w:val="000A07DA"/>
    <w:rsid w:val="000A560E"/>
    <w:rsid w:val="000B68DF"/>
    <w:rsid w:val="00100AB4"/>
    <w:rsid w:val="00101149"/>
    <w:rsid w:val="001224A6"/>
    <w:rsid w:val="00143179"/>
    <w:rsid w:val="00146EBD"/>
    <w:rsid w:val="0014766B"/>
    <w:rsid w:val="001477B7"/>
    <w:rsid w:val="00153A7B"/>
    <w:rsid w:val="00154808"/>
    <w:rsid w:val="00156E9E"/>
    <w:rsid w:val="001650ED"/>
    <w:rsid w:val="00183E8E"/>
    <w:rsid w:val="001924DB"/>
    <w:rsid w:val="00194FF4"/>
    <w:rsid w:val="001A1962"/>
    <w:rsid w:val="001D1FD5"/>
    <w:rsid w:val="001D7DE1"/>
    <w:rsid w:val="001E0099"/>
    <w:rsid w:val="001E3856"/>
    <w:rsid w:val="001E3ACB"/>
    <w:rsid w:val="001E5C3D"/>
    <w:rsid w:val="001E701D"/>
    <w:rsid w:val="001F1D64"/>
    <w:rsid w:val="00222E63"/>
    <w:rsid w:val="00226DAC"/>
    <w:rsid w:val="00235DDB"/>
    <w:rsid w:val="00242622"/>
    <w:rsid w:val="00255E87"/>
    <w:rsid w:val="00263140"/>
    <w:rsid w:val="00280010"/>
    <w:rsid w:val="002808D2"/>
    <w:rsid w:val="00287655"/>
    <w:rsid w:val="00291F39"/>
    <w:rsid w:val="00292C98"/>
    <w:rsid w:val="00294B81"/>
    <w:rsid w:val="002A0CFE"/>
    <w:rsid w:val="002A3562"/>
    <w:rsid w:val="002B2BE4"/>
    <w:rsid w:val="002C20B7"/>
    <w:rsid w:val="002C36E9"/>
    <w:rsid w:val="002C56BD"/>
    <w:rsid w:val="002F5B7B"/>
    <w:rsid w:val="0031416A"/>
    <w:rsid w:val="003160AA"/>
    <w:rsid w:val="0032489D"/>
    <w:rsid w:val="00324BDD"/>
    <w:rsid w:val="003275E6"/>
    <w:rsid w:val="00344B53"/>
    <w:rsid w:val="00346D60"/>
    <w:rsid w:val="00352DB2"/>
    <w:rsid w:val="00353B0A"/>
    <w:rsid w:val="00354C06"/>
    <w:rsid w:val="00354F3C"/>
    <w:rsid w:val="003648D1"/>
    <w:rsid w:val="00366FC2"/>
    <w:rsid w:val="00367F4F"/>
    <w:rsid w:val="0037076A"/>
    <w:rsid w:val="00375A6A"/>
    <w:rsid w:val="003807A8"/>
    <w:rsid w:val="00382812"/>
    <w:rsid w:val="003878FE"/>
    <w:rsid w:val="00390FA0"/>
    <w:rsid w:val="003B0BB1"/>
    <w:rsid w:val="003B1309"/>
    <w:rsid w:val="003B5DAB"/>
    <w:rsid w:val="003C3983"/>
    <w:rsid w:val="003E2C61"/>
    <w:rsid w:val="003E4663"/>
    <w:rsid w:val="003F2112"/>
    <w:rsid w:val="00403EE5"/>
    <w:rsid w:val="00406901"/>
    <w:rsid w:val="00410F53"/>
    <w:rsid w:val="00413B27"/>
    <w:rsid w:val="00417E20"/>
    <w:rsid w:val="00421A3C"/>
    <w:rsid w:val="0042501A"/>
    <w:rsid w:val="00426BC1"/>
    <w:rsid w:val="00444C56"/>
    <w:rsid w:val="00447C42"/>
    <w:rsid w:val="004619DA"/>
    <w:rsid w:val="0046355E"/>
    <w:rsid w:val="00465EAE"/>
    <w:rsid w:val="004847C5"/>
    <w:rsid w:val="004920B8"/>
    <w:rsid w:val="00493B96"/>
    <w:rsid w:val="004A19B2"/>
    <w:rsid w:val="004A67B1"/>
    <w:rsid w:val="004A7822"/>
    <w:rsid w:val="004B0915"/>
    <w:rsid w:val="004B1159"/>
    <w:rsid w:val="004B4006"/>
    <w:rsid w:val="004B4F75"/>
    <w:rsid w:val="004D5195"/>
    <w:rsid w:val="004D55DD"/>
    <w:rsid w:val="00511E41"/>
    <w:rsid w:val="005261EA"/>
    <w:rsid w:val="005278A6"/>
    <w:rsid w:val="00534A1E"/>
    <w:rsid w:val="005401DE"/>
    <w:rsid w:val="005603A2"/>
    <w:rsid w:val="00563857"/>
    <w:rsid w:val="005638A6"/>
    <w:rsid w:val="00564592"/>
    <w:rsid w:val="00564644"/>
    <w:rsid w:val="00567565"/>
    <w:rsid w:val="0058766D"/>
    <w:rsid w:val="00590612"/>
    <w:rsid w:val="00593563"/>
    <w:rsid w:val="005971CE"/>
    <w:rsid w:val="005A5583"/>
    <w:rsid w:val="005B41BE"/>
    <w:rsid w:val="005B7785"/>
    <w:rsid w:val="005C3644"/>
    <w:rsid w:val="005C3A9A"/>
    <w:rsid w:val="005C67B8"/>
    <w:rsid w:val="005E37C6"/>
    <w:rsid w:val="005F3570"/>
    <w:rsid w:val="006071DF"/>
    <w:rsid w:val="00610839"/>
    <w:rsid w:val="00614799"/>
    <w:rsid w:val="00614A36"/>
    <w:rsid w:val="00624192"/>
    <w:rsid w:val="006353DD"/>
    <w:rsid w:val="0065067E"/>
    <w:rsid w:val="00666609"/>
    <w:rsid w:val="00666F00"/>
    <w:rsid w:val="00670B43"/>
    <w:rsid w:val="00681AD8"/>
    <w:rsid w:val="006858FC"/>
    <w:rsid w:val="00686460"/>
    <w:rsid w:val="006938B6"/>
    <w:rsid w:val="0069661E"/>
    <w:rsid w:val="006A0EAC"/>
    <w:rsid w:val="006A59D6"/>
    <w:rsid w:val="006B3B35"/>
    <w:rsid w:val="006B4EDD"/>
    <w:rsid w:val="006B597A"/>
    <w:rsid w:val="006D6A79"/>
    <w:rsid w:val="006E0F40"/>
    <w:rsid w:val="006E1312"/>
    <w:rsid w:val="006E611B"/>
    <w:rsid w:val="006F022B"/>
    <w:rsid w:val="006F63DF"/>
    <w:rsid w:val="007014D1"/>
    <w:rsid w:val="00711244"/>
    <w:rsid w:val="007126D4"/>
    <w:rsid w:val="00715EBF"/>
    <w:rsid w:val="00715FD6"/>
    <w:rsid w:val="00723D45"/>
    <w:rsid w:val="00725638"/>
    <w:rsid w:val="00727321"/>
    <w:rsid w:val="007303E6"/>
    <w:rsid w:val="00740880"/>
    <w:rsid w:val="00744FD8"/>
    <w:rsid w:val="00745C75"/>
    <w:rsid w:val="00746AF4"/>
    <w:rsid w:val="00754E01"/>
    <w:rsid w:val="00764505"/>
    <w:rsid w:val="00767932"/>
    <w:rsid w:val="007805C0"/>
    <w:rsid w:val="00785687"/>
    <w:rsid w:val="0078719A"/>
    <w:rsid w:val="00792C3F"/>
    <w:rsid w:val="00795229"/>
    <w:rsid w:val="007958D0"/>
    <w:rsid w:val="007A44A3"/>
    <w:rsid w:val="007A7FD0"/>
    <w:rsid w:val="007B2814"/>
    <w:rsid w:val="007B4191"/>
    <w:rsid w:val="007C28A3"/>
    <w:rsid w:val="007C3A72"/>
    <w:rsid w:val="007E0BC9"/>
    <w:rsid w:val="007E7D1C"/>
    <w:rsid w:val="007F6164"/>
    <w:rsid w:val="007F7D74"/>
    <w:rsid w:val="008002D8"/>
    <w:rsid w:val="008025BA"/>
    <w:rsid w:val="00807AB6"/>
    <w:rsid w:val="008129D5"/>
    <w:rsid w:val="008146A4"/>
    <w:rsid w:val="008164AE"/>
    <w:rsid w:val="0082376E"/>
    <w:rsid w:val="008254D2"/>
    <w:rsid w:val="00826B04"/>
    <w:rsid w:val="0083110D"/>
    <w:rsid w:val="0083395E"/>
    <w:rsid w:val="00864B8B"/>
    <w:rsid w:val="0087475A"/>
    <w:rsid w:val="008841EB"/>
    <w:rsid w:val="00895E1E"/>
    <w:rsid w:val="008A0FEA"/>
    <w:rsid w:val="008A2F5C"/>
    <w:rsid w:val="008A3E9E"/>
    <w:rsid w:val="008A4E32"/>
    <w:rsid w:val="008B6CD2"/>
    <w:rsid w:val="008B7181"/>
    <w:rsid w:val="008C29A8"/>
    <w:rsid w:val="008C30DF"/>
    <w:rsid w:val="008C74D1"/>
    <w:rsid w:val="008D087E"/>
    <w:rsid w:val="008D698F"/>
    <w:rsid w:val="008D6B81"/>
    <w:rsid w:val="008D7969"/>
    <w:rsid w:val="008E0691"/>
    <w:rsid w:val="008E31E1"/>
    <w:rsid w:val="008E792D"/>
    <w:rsid w:val="008F04A2"/>
    <w:rsid w:val="008F4A38"/>
    <w:rsid w:val="008F71F6"/>
    <w:rsid w:val="008F76A9"/>
    <w:rsid w:val="0090561D"/>
    <w:rsid w:val="009063FC"/>
    <w:rsid w:val="00906755"/>
    <w:rsid w:val="00911879"/>
    <w:rsid w:val="009138C4"/>
    <w:rsid w:val="00925BE0"/>
    <w:rsid w:val="00931818"/>
    <w:rsid w:val="00935834"/>
    <w:rsid w:val="009371AB"/>
    <w:rsid w:val="00941518"/>
    <w:rsid w:val="00952288"/>
    <w:rsid w:val="009549F6"/>
    <w:rsid w:val="00965C20"/>
    <w:rsid w:val="00966FB7"/>
    <w:rsid w:val="00973876"/>
    <w:rsid w:val="00977030"/>
    <w:rsid w:val="00977820"/>
    <w:rsid w:val="009929DC"/>
    <w:rsid w:val="00993BC7"/>
    <w:rsid w:val="00997E16"/>
    <w:rsid w:val="009C02F6"/>
    <w:rsid w:val="009D7C29"/>
    <w:rsid w:val="009E0CF7"/>
    <w:rsid w:val="009E7EA8"/>
    <w:rsid w:val="009F43ED"/>
    <w:rsid w:val="009F5C33"/>
    <w:rsid w:val="00A03DCF"/>
    <w:rsid w:val="00A0605C"/>
    <w:rsid w:val="00A12CAC"/>
    <w:rsid w:val="00A16825"/>
    <w:rsid w:val="00A17DEA"/>
    <w:rsid w:val="00A2343C"/>
    <w:rsid w:val="00A26DB5"/>
    <w:rsid w:val="00A3475E"/>
    <w:rsid w:val="00A34C5E"/>
    <w:rsid w:val="00A40D4B"/>
    <w:rsid w:val="00A411E8"/>
    <w:rsid w:val="00A426C6"/>
    <w:rsid w:val="00A46377"/>
    <w:rsid w:val="00A63155"/>
    <w:rsid w:val="00A7621F"/>
    <w:rsid w:val="00A814C5"/>
    <w:rsid w:val="00A86F5F"/>
    <w:rsid w:val="00A930A6"/>
    <w:rsid w:val="00A955DC"/>
    <w:rsid w:val="00A96C39"/>
    <w:rsid w:val="00A9780E"/>
    <w:rsid w:val="00AA1778"/>
    <w:rsid w:val="00AA2CD0"/>
    <w:rsid w:val="00AA309B"/>
    <w:rsid w:val="00AA3F66"/>
    <w:rsid w:val="00AA4983"/>
    <w:rsid w:val="00AA712D"/>
    <w:rsid w:val="00AA73C0"/>
    <w:rsid w:val="00AB393A"/>
    <w:rsid w:val="00AB3AC1"/>
    <w:rsid w:val="00AB6077"/>
    <w:rsid w:val="00AC31D0"/>
    <w:rsid w:val="00AC3267"/>
    <w:rsid w:val="00AC3CAA"/>
    <w:rsid w:val="00AC5178"/>
    <w:rsid w:val="00AE65DA"/>
    <w:rsid w:val="00AF4D12"/>
    <w:rsid w:val="00B01014"/>
    <w:rsid w:val="00B02D4D"/>
    <w:rsid w:val="00B06325"/>
    <w:rsid w:val="00B10FE7"/>
    <w:rsid w:val="00B31F97"/>
    <w:rsid w:val="00B330B2"/>
    <w:rsid w:val="00B37C30"/>
    <w:rsid w:val="00B407F4"/>
    <w:rsid w:val="00B47ADF"/>
    <w:rsid w:val="00B508C1"/>
    <w:rsid w:val="00B50E2E"/>
    <w:rsid w:val="00B531FD"/>
    <w:rsid w:val="00B533EA"/>
    <w:rsid w:val="00B541EB"/>
    <w:rsid w:val="00B654AE"/>
    <w:rsid w:val="00B71060"/>
    <w:rsid w:val="00B75992"/>
    <w:rsid w:val="00B84BAE"/>
    <w:rsid w:val="00B93B52"/>
    <w:rsid w:val="00B94963"/>
    <w:rsid w:val="00BA2E8A"/>
    <w:rsid w:val="00BB797F"/>
    <w:rsid w:val="00BC1CB4"/>
    <w:rsid w:val="00BD0A30"/>
    <w:rsid w:val="00BD0F26"/>
    <w:rsid w:val="00BD1983"/>
    <w:rsid w:val="00BF7A17"/>
    <w:rsid w:val="00C0074B"/>
    <w:rsid w:val="00C023F7"/>
    <w:rsid w:val="00C04DCE"/>
    <w:rsid w:val="00C11DDB"/>
    <w:rsid w:val="00C13F02"/>
    <w:rsid w:val="00C15524"/>
    <w:rsid w:val="00C16EF3"/>
    <w:rsid w:val="00C2129F"/>
    <w:rsid w:val="00C32D8E"/>
    <w:rsid w:val="00C33FD0"/>
    <w:rsid w:val="00C436BD"/>
    <w:rsid w:val="00C56EB0"/>
    <w:rsid w:val="00C81041"/>
    <w:rsid w:val="00C82D59"/>
    <w:rsid w:val="00C8522B"/>
    <w:rsid w:val="00C870B8"/>
    <w:rsid w:val="00C972A8"/>
    <w:rsid w:val="00CA005A"/>
    <w:rsid w:val="00CA1AC9"/>
    <w:rsid w:val="00CA2BE4"/>
    <w:rsid w:val="00CA65CB"/>
    <w:rsid w:val="00CB0981"/>
    <w:rsid w:val="00CB125E"/>
    <w:rsid w:val="00CC4D89"/>
    <w:rsid w:val="00CE3A22"/>
    <w:rsid w:val="00CF4193"/>
    <w:rsid w:val="00CF6F07"/>
    <w:rsid w:val="00D06693"/>
    <w:rsid w:val="00D10E0B"/>
    <w:rsid w:val="00D1164D"/>
    <w:rsid w:val="00D11688"/>
    <w:rsid w:val="00D13BB0"/>
    <w:rsid w:val="00D144DB"/>
    <w:rsid w:val="00D172F7"/>
    <w:rsid w:val="00D26342"/>
    <w:rsid w:val="00D26D83"/>
    <w:rsid w:val="00D33A06"/>
    <w:rsid w:val="00D42057"/>
    <w:rsid w:val="00D51CF9"/>
    <w:rsid w:val="00D52CDA"/>
    <w:rsid w:val="00D54222"/>
    <w:rsid w:val="00D57D92"/>
    <w:rsid w:val="00D605EE"/>
    <w:rsid w:val="00D86036"/>
    <w:rsid w:val="00D94E28"/>
    <w:rsid w:val="00D9626F"/>
    <w:rsid w:val="00DC1ED9"/>
    <w:rsid w:val="00DC1FA9"/>
    <w:rsid w:val="00DC5DA1"/>
    <w:rsid w:val="00DD12BD"/>
    <w:rsid w:val="00DD3D83"/>
    <w:rsid w:val="00DE3CEA"/>
    <w:rsid w:val="00DE6598"/>
    <w:rsid w:val="00DF0A71"/>
    <w:rsid w:val="00DF787F"/>
    <w:rsid w:val="00E027E5"/>
    <w:rsid w:val="00E148AF"/>
    <w:rsid w:val="00E1502C"/>
    <w:rsid w:val="00E16A07"/>
    <w:rsid w:val="00E20925"/>
    <w:rsid w:val="00E20AD1"/>
    <w:rsid w:val="00E21A8B"/>
    <w:rsid w:val="00E236E5"/>
    <w:rsid w:val="00E323A8"/>
    <w:rsid w:val="00E3311C"/>
    <w:rsid w:val="00E62925"/>
    <w:rsid w:val="00E63908"/>
    <w:rsid w:val="00E67457"/>
    <w:rsid w:val="00E802FD"/>
    <w:rsid w:val="00E83115"/>
    <w:rsid w:val="00E862E4"/>
    <w:rsid w:val="00E90CCD"/>
    <w:rsid w:val="00E91551"/>
    <w:rsid w:val="00E92FFF"/>
    <w:rsid w:val="00E9592C"/>
    <w:rsid w:val="00EA513C"/>
    <w:rsid w:val="00EB67DC"/>
    <w:rsid w:val="00EC1B7D"/>
    <w:rsid w:val="00EC2BE2"/>
    <w:rsid w:val="00ED3423"/>
    <w:rsid w:val="00ED3675"/>
    <w:rsid w:val="00ED53A8"/>
    <w:rsid w:val="00ED5B81"/>
    <w:rsid w:val="00ED6F99"/>
    <w:rsid w:val="00EE1733"/>
    <w:rsid w:val="00EF1942"/>
    <w:rsid w:val="00EF33A8"/>
    <w:rsid w:val="00EF39CC"/>
    <w:rsid w:val="00EF5451"/>
    <w:rsid w:val="00F00B42"/>
    <w:rsid w:val="00F07C68"/>
    <w:rsid w:val="00F13AD8"/>
    <w:rsid w:val="00F25B80"/>
    <w:rsid w:val="00F26568"/>
    <w:rsid w:val="00F26622"/>
    <w:rsid w:val="00F32681"/>
    <w:rsid w:val="00F46EB5"/>
    <w:rsid w:val="00F53FBC"/>
    <w:rsid w:val="00F7442F"/>
    <w:rsid w:val="00F75F9F"/>
    <w:rsid w:val="00F90ABD"/>
    <w:rsid w:val="00F977CA"/>
    <w:rsid w:val="00FA2BF6"/>
    <w:rsid w:val="00FA502F"/>
    <w:rsid w:val="00FB6003"/>
    <w:rsid w:val="00FC4F41"/>
    <w:rsid w:val="00FD0354"/>
    <w:rsid w:val="00FD217A"/>
    <w:rsid w:val="00FF0E98"/>
    <w:rsid w:val="00FF1AA6"/>
    <w:rsid w:val="00FF2ACC"/>
    <w:rsid w:val="039E519B"/>
    <w:rsid w:val="07CD6878"/>
    <w:rsid w:val="17834D90"/>
    <w:rsid w:val="1A24530A"/>
    <w:rsid w:val="24A0099B"/>
    <w:rsid w:val="4C1D5B55"/>
    <w:rsid w:val="5697101E"/>
    <w:rsid w:val="5AE6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2"/>
    <w:basedOn w:val="1"/>
    <w:next w:val="1"/>
    <w:link w:val="16"/>
    <w:qFormat/>
    <w:uiPriority w:val="0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3"/>
    <w:basedOn w:val="1"/>
    <w:next w:val="1"/>
    <w:link w:val="17"/>
    <w:qFormat/>
    <w:uiPriority w:val="0"/>
    <w:pPr>
      <w:keepNext/>
      <w:jc w:val="center"/>
      <w:outlineLvl w:val="2"/>
    </w:pPr>
    <w:rPr>
      <w:b/>
      <w:bCs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8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 Indent 3"/>
    <w:basedOn w:val="1"/>
    <w:link w:val="25"/>
    <w:qFormat/>
    <w:uiPriority w:val="0"/>
    <w:pPr>
      <w:jc w:val="center"/>
    </w:pPr>
    <w:rPr>
      <w:szCs w:val="20"/>
    </w:rPr>
  </w:style>
  <w:style w:type="paragraph" w:styleId="10">
    <w:name w:val="annotation text"/>
    <w:basedOn w:val="1"/>
    <w:link w:val="26"/>
    <w:semiHidden/>
    <w:unhideWhenUsed/>
    <w:qFormat/>
    <w:uiPriority w:val="99"/>
    <w:rPr>
      <w:sz w:val="20"/>
      <w:szCs w:val="20"/>
    </w:rPr>
  </w:style>
  <w:style w:type="paragraph" w:styleId="11">
    <w:name w:val="annotation subject"/>
    <w:basedOn w:val="10"/>
    <w:next w:val="10"/>
    <w:link w:val="27"/>
    <w:semiHidden/>
    <w:unhideWhenUsed/>
    <w:qFormat/>
    <w:uiPriority w:val="99"/>
    <w:rPr>
      <w:b/>
      <w:bCs/>
    </w:rPr>
  </w:style>
  <w:style w:type="paragraph" w:styleId="12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table" w:styleId="14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5"/>
    <w:link w:val="2"/>
    <w:qFormat/>
    <w:uiPriority w:val="0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customStyle="1" w:styleId="16">
    <w:name w:val="Заголовок 2 Знак"/>
    <w:basedOn w:val="5"/>
    <w:link w:val="3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17">
    <w:name w:val="Заголовок 3 Знак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8">
    <w:name w:val="ConsPlusNormal"/>
    <w:link w:val="21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Текст выноски Знак"/>
    <w:basedOn w:val="5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0">
    <w:name w:val="ConsPlusTitle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character" w:customStyle="1" w:styleId="21">
    <w:name w:val="ConsPlusNormal Знак"/>
    <w:link w:val="18"/>
    <w:qFormat/>
    <w:locked/>
    <w:uiPriority w:val="0"/>
    <w:rPr>
      <w:rFonts w:ascii="Arial" w:hAnsi="Arial" w:eastAsia="Times New Roman" w:cs="Arial"/>
      <w:sz w:val="20"/>
      <w:szCs w:val="20"/>
      <w:lang w:eastAsia="ru-RU"/>
    </w:rPr>
  </w:style>
  <w:style w:type="character" w:customStyle="1" w:styleId="22">
    <w:name w:val="Верхний колонтитул Знак"/>
    <w:basedOn w:val="5"/>
    <w:link w:val="12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Нижний колонтитул Знак"/>
    <w:basedOn w:val="5"/>
    <w:link w:val="13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">
    <w:name w:val="Знак Знак Знак Знак1 Знак Знак1 Знак 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5">
    <w:name w:val="Основной текст с отступом 3 Знак"/>
    <w:basedOn w:val="5"/>
    <w:link w:val="9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6">
    <w:name w:val="Текст примечания Знак"/>
    <w:basedOn w:val="5"/>
    <w:link w:val="10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7">
    <w:name w:val="Тема примечания Знак"/>
    <w:basedOn w:val="26"/>
    <w:link w:val="11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D4B1B-19CF-4D70-BF4D-4F8AA4F132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6</Pages>
  <Words>1295</Words>
  <Characters>7384</Characters>
  <Lines>61</Lines>
  <Paragraphs>17</Paragraphs>
  <TotalTime>0</TotalTime>
  <ScaleCrop>false</ScaleCrop>
  <LinksUpToDate>false</LinksUpToDate>
  <CharactersWithSpaces>8662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2024-10-04T07:46:00Z</dcterms:created>
  <dc:creator>Зиневич</dc:creator>
  <cp:lastModifiedBy>StateykoAV</cp:lastModifiedBy>
  <cp:lastPrinted>2023-11-28T07:21:00Z</cp:lastPrinted>
  <dcterms:modified xsi:type="dcterms:W3CDTF">2024-10-04T09:33:54Z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