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DA" w:rsidRDefault="00E0697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DA" w:rsidRDefault="002533DA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533DA" w:rsidRDefault="00E0697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2533DA" w:rsidRPr="002E11A6" w:rsidRDefault="00E0697C" w:rsidP="002E11A6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2533DA" w:rsidRDefault="002E11A6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2533DA" w:rsidRDefault="00E0697C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2533DA" w:rsidRDefault="002533DA" w:rsidP="002E11A6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533DA" w:rsidRDefault="002533D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533DA" w:rsidRDefault="00E0697C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2533DA" w:rsidRDefault="002533D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2533DA">
        <w:tc>
          <w:tcPr>
            <w:tcW w:w="4820" w:type="dxa"/>
          </w:tcPr>
          <w:p w:rsidR="002533DA" w:rsidRDefault="002E11A6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20 ноября </w:t>
            </w:r>
            <w:r w:rsidR="00E0697C">
              <w:rPr>
                <w:rFonts w:cs="Times New Roman"/>
                <w:kern w:val="0"/>
                <w:lang w:val="ru-RU" w:eastAsia="ar-SA" w:bidi="ar-SA"/>
              </w:rPr>
              <w:t>2024  года</w:t>
            </w:r>
          </w:p>
        </w:tc>
        <w:tc>
          <w:tcPr>
            <w:tcW w:w="5953" w:type="dxa"/>
          </w:tcPr>
          <w:p w:rsidR="002533DA" w:rsidRDefault="00E0697C" w:rsidP="002E11A6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2E11A6">
              <w:rPr>
                <w:rFonts w:cs="Times New Roman"/>
                <w:kern w:val="0"/>
                <w:lang w:val="ru-RU" w:eastAsia="ar-SA" w:bidi="ar-SA"/>
              </w:rPr>
              <w:t xml:space="preserve"> 74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2533DA" w:rsidRDefault="002533D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2533DA" w:rsidRDefault="002533DA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2533DA" w:rsidRDefault="00E0697C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2E11A6">
        <w:t xml:space="preserve">                        от </w:t>
      </w:r>
      <w:r>
        <w:t xml:space="preserve">23 </w:t>
      </w:r>
      <w:r>
        <w:t>сентября 2021 года № 46</w:t>
      </w:r>
    </w:p>
    <w:p w:rsidR="002533DA" w:rsidRDefault="002533DA" w:rsidP="002E11A6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33DA" w:rsidRDefault="00E0697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</w:t>
      </w:r>
      <w:r>
        <w:rPr>
          <w:rFonts w:ascii="Times New Roman" w:hAnsi="Times New Roman"/>
          <w:sz w:val="24"/>
          <w:szCs w:val="24"/>
        </w:rPr>
        <w:t>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                       4 дек</w:t>
      </w:r>
      <w:r>
        <w:rPr>
          <w:rFonts w:ascii="Times New Roman" w:hAnsi="Times New Roman"/>
          <w:sz w:val="24"/>
          <w:szCs w:val="24"/>
        </w:rPr>
        <w:t>абря 2006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№ 200-ФЗ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2533DA" w:rsidRDefault="00E0697C">
      <w:pPr>
        <w:pStyle w:val="ConsPlusNormal"/>
        <w:widowControl w:val="0"/>
        <w:numPr>
          <w:ilvl w:val="0"/>
          <w:numId w:val="1"/>
        </w:num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раздела IV приложени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 </w:t>
      </w:r>
    </w:p>
    <w:p w:rsidR="002533DA" w:rsidRDefault="00E0697C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Fonts w:ascii="Times New Roman" w:hAnsi="Times New Roman"/>
            <w:sz w:val="24"/>
            <w:szCs w:val="24"/>
          </w:rPr>
          <w:t>пункт 13</w:t>
        </w:r>
      </w:hyperlink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2533DA" w:rsidRDefault="00E0697C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профилактический визит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2533DA" w:rsidRDefault="00E0697C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hyperlink r:id="rId11" w:history="1">
        <w:r>
          <w:rPr>
            <w:rFonts w:ascii="Times New Roman" w:hAnsi="Times New Roman"/>
            <w:sz w:val="24"/>
            <w:szCs w:val="24"/>
          </w:rPr>
          <w:t>дополнить</w:t>
        </w:r>
      </w:hyperlink>
      <w:r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22.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2533DA" w:rsidRDefault="00E0697C">
      <w:pPr>
        <w:spacing w:after="0" w:line="24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«22.3. П</w:t>
      </w:r>
      <w:r>
        <w:rPr>
          <w:rFonts w:ascii="Times New Roman" w:hAnsi="Times New Roman"/>
          <w:sz w:val="24"/>
          <w:szCs w:val="24"/>
        </w:rPr>
        <w:t>рофилактический визит проводится только с согласия контролируемого лица либо по его инициативе. Контролируемое лицо вправе обратиться в контрольный (надзорный) орган с заявлением о проведении в отношении его профилактическог</w:t>
      </w:r>
      <w:r>
        <w:rPr>
          <w:rFonts w:ascii="Times New Roman" w:hAnsi="Times New Roman"/>
          <w:sz w:val="24"/>
          <w:szCs w:val="24"/>
        </w:rPr>
        <w:t xml:space="preserve">о визита.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</w:t>
      </w:r>
      <w:r>
        <w:rPr>
          <w:rFonts w:ascii="Times New Roman" w:hAnsi="Times New Roman"/>
          <w:sz w:val="24"/>
          <w:szCs w:val="24"/>
        </w:rPr>
        <w:t xml:space="preserve">ной государственной информационной системы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 обращение подлежит рассмотрению уполномоченным на рассмотрение обращения органом в течение 10 рабочих дней со дня его регистрации.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 муниципального контроля принимает решение об отказе в проведении профилактического визита по заявлению контролируемого лица по основаниям, установленным </w:t>
      </w:r>
      <w:hyperlink r:id="rId12" w:history="1">
        <w:r>
          <w:rPr>
            <w:rFonts w:ascii="Times New Roman" w:hAnsi="Times New Roman"/>
            <w:sz w:val="24"/>
            <w:szCs w:val="24"/>
          </w:rPr>
          <w:t>частью 12 статьи</w:t>
        </w:r>
        <w:r>
          <w:rPr>
            <w:rFonts w:ascii="Times New Roman" w:hAnsi="Times New Roman"/>
            <w:sz w:val="24"/>
            <w:szCs w:val="24"/>
          </w:rPr>
          <w:t xml:space="preserve"> 52</w:t>
        </w:r>
      </w:hyperlink>
      <w:r>
        <w:rPr>
          <w:rFonts w:ascii="Times New Roman" w:hAnsi="Times New Roman"/>
          <w:sz w:val="24"/>
          <w:szCs w:val="24"/>
        </w:rPr>
        <w:t xml:space="preserve"> Закона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248-ФЗ.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</w:t>
      </w:r>
      <w:r>
        <w:rPr>
          <w:rFonts w:ascii="Times New Roman" w:hAnsi="Times New Roman"/>
          <w:sz w:val="24"/>
          <w:szCs w:val="24"/>
        </w:rPr>
        <w:t>путём</w:t>
      </w:r>
      <w:r>
        <w:rPr>
          <w:rFonts w:ascii="Times New Roman" w:hAnsi="Times New Roman"/>
          <w:sz w:val="24"/>
          <w:szCs w:val="24"/>
        </w:rPr>
        <w:t xml:space="preserve"> использования видео </w:t>
      </w:r>
      <w:proofErr w:type="gramStart"/>
      <w:r>
        <w:rPr>
          <w:rFonts w:ascii="Times New Roman" w:hAnsi="Times New Roman"/>
          <w:sz w:val="24"/>
          <w:szCs w:val="24"/>
        </w:rPr>
        <w:t>конференц-связи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продолжительности профилактический визит не должен превыша</w:t>
      </w:r>
      <w:r>
        <w:rPr>
          <w:rFonts w:ascii="Times New Roman" w:hAnsi="Times New Roman"/>
          <w:sz w:val="24"/>
          <w:szCs w:val="24"/>
        </w:rPr>
        <w:t>ть 1 рабочего дня.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Профилактический визит проводится должностным лицом по месту осуществления деятельности контролируемого лица.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>
        <w:rPr>
          <w:rFonts w:ascii="Times New Roman" w:hAnsi="Times New Roman"/>
          <w:sz w:val="24"/>
          <w:szCs w:val="24"/>
        </w:rPr>
        <w:t xml:space="preserve"> либо к принадлежащим ему объектам контроля.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профилактического визита должностным лицом может осуществляться консультирование контролируемого лица в порядке, установленном </w:t>
      </w:r>
      <w:hyperlink r:id="rId13" w:history="1">
        <w:r>
          <w:rPr>
            <w:rFonts w:ascii="Times New Roman" w:hAnsi="Times New Roman"/>
            <w:sz w:val="24"/>
            <w:szCs w:val="24"/>
          </w:rPr>
          <w:t>статьей 50</w:t>
        </w:r>
      </w:hyperlink>
      <w:r>
        <w:rPr>
          <w:rFonts w:ascii="Times New Roman" w:hAnsi="Times New Roman"/>
          <w:sz w:val="24"/>
          <w:szCs w:val="24"/>
        </w:rPr>
        <w:t xml:space="preserve"> Закона </w:t>
      </w:r>
      <w:r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 xml:space="preserve"> 248-ФЗ.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</w:t>
      </w:r>
      <w:r>
        <w:rPr>
          <w:rFonts w:ascii="Times New Roman" w:hAnsi="Times New Roman"/>
          <w:sz w:val="24"/>
          <w:szCs w:val="24"/>
        </w:rPr>
        <w:t>рекомендательный характер.</w:t>
      </w:r>
    </w:p>
    <w:p w:rsidR="002533DA" w:rsidRDefault="00E069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</w:t>
      </w:r>
      <w:r>
        <w:rPr>
          <w:rFonts w:ascii="Times New Roman" w:hAnsi="Times New Roman"/>
          <w:sz w:val="24"/>
          <w:szCs w:val="24"/>
        </w:rPr>
        <w:t>ое лицо незамедлительно направляет информацию об этом руководителю уполномоченного органа для принятия решения о проведении контрольных (надзорных) мероприятий.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2533DA" w:rsidRDefault="00E0697C">
      <w:pPr>
        <w:pStyle w:val="ConsPlusNormal"/>
        <w:widowControl w:val="0"/>
        <w:numPr>
          <w:ilvl w:val="0"/>
          <w:numId w:val="3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2533DA" w:rsidRPr="002E11A6" w:rsidRDefault="00E0697C" w:rsidP="002E11A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</w:t>
      </w:r>
      <w:r>
        <w:rPr>
          <w:sz w:val="24"/>
          <w:szCs w:val="24"/>
        </w:rPr>
        <w:t>решение вступает в силу после его официального опубликования.</w:t>
      </w:r>
    </w:p>
    <w:p w:rsidR="002533DA" w:rsidRDefault="00253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11A6" w:rsidRDefault="002E1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11A6" w:rsidRDefault="002E1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3DA" w:rsidRDefault="00E06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</w:t>
      </w:r>
      <w:r w:rsidR="002E11A6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2E11A6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2533DA" w:rsidRDefault="00253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1A6" w:rsidRDefault="002E1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3DA" w:rsidRDefault="00E069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11A6">
        <w:rPr>
          <w:rFonts w:ascii="Times New Roman" w:hAnsi="Times New Roman"/>
          <w:sz w:val="24"/>
          <w:szCs w:val="24"/>
        </w:rPr>
        <w:tab/>
      </w:r>
      <w:r w:rsidR="002E11A6">
        <w:rPr>
          <w:rFonts w:ascii="Times New Roman" w:hAnsi="Times New Roman"/>
          <w:sz w:val="24"/>
          <w:szCs w:val="24"/>
        </w:rPr>
        <w:tab/>
      </w:r>
      <w:r w:rsidR="002E11A6">
        <w:rPr>
          <w:rFonts w:ascii="Times New Roman" w:hAnsi="Times New Roman"/>
          <w:sz w:val="24"/>
          <w:szCs w:val="24"/>
        </w:rPr>
        <w:tab/>
      </w:r>
      <w:r w:rsidR="002E11A6"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 w:rsidR="002E11A6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2533DA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7C" w:rsidRDefault="00E0697C">
      <w:pPr>
        <w:spacing w:line="240" w:lineRule="auto"/>
      </w:pPr>
      <w:r>
        <w:separator/>
      </w:r>
    </w:p>
  </w:endnote>
  <w:endnote w:type="continuationSeparator" w:id="0">
    <w:p w:rsidR="00E0697C" w:rsidRDefault="00E06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7C" w:rsidRDefault="00E0697C">
      <w:pPr>
        <w:spacing w:after="0" w:line="240" w:lineRule="auto"/>
      </w:pPr>
      <w:r>
        <w:separator/>
      </w:r>
    </w:p>
  </w:footnote>
  <w:footnote w:type="continuationSeparator" w:id="0">
    <w:p w:rsidR="00E0697C" w:rsidRDefault="00E0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1610C33"/>
    <w:multiLevelType w:val="singleLevel"/>
    <w:tmpl w:val="01610C33"/>
    <w:lvl w:ilvl="0">
      <w:start w:val="1"/>
      <w:numFmt w:val="decimal"/>
      <w:suff w:val="space"/>
      <w:lvlText w:val="%1)"/>
      <w:lvlJc w:val="left"/>
    </w:lvl>
  </w:abstractNum>
  <w:abstractNum w:abstractNumId="2">
    <w:nsid w:val="782F67BC"/>
    <w:multiLevelType w:val="singleLevel"/>
    <w:tmpl w:val="782F67B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354"/>
    <w:rsid w:val="000A43E4"/>
    <w:rsid w:val="00106323"/>
    <w:rsid w:val="001403E9"/>
    <w:rsid w:val="0016072E"/>
    <w:rsid w:val="00172A27"/>
    <w:rsid w:val="001D2E49"/>
    <w:rsid w:val="002533DA"/>
    <w:rsid w:val="002E11A6"/>
    <w:rsid w:val="00331351"/>
    <w:rsid w:val="003C502C"/>
    <w:rsid w:val="004C3620"/>
    <w:rsid w:val="005524E6"/>
    <w:rsid w:val="00566A1A"/>
    <w:rsid w:val="005839DC"/>
    <w:rsid w:val="005E5357"/>
    <w:rsid w:val="008679D3"/>
    <w:rsid w:val="008873AD"/>
    <w:rsid w:val="009260A5"/>
    <w:rsid w:val="009E4D5F"/>
    <w:rsid w:val="00AB3E97"/>
    <w:rsid w:val="00AF20B9"/>
    <w:rsid w:val="00C25AFC"/>
    <w:rsid w:val="00CF1098"/>
    <w:rsid w:val="00D66ABE"/>
    <w:rsid w:val="00D77E13"/>
    <w:rsid w:val="00DB47AC"/>
    <w:rsid w:val="00E0697C"/>
    <w:rsid w:val="00EB21F6"/>
    <w:rsid w:val="06953F7C"/>
    <w:rsid w:val="33224853"/>
    <w:rsid w:val="60C70EF6"/>
    <w:rsid w:val="7A2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0240&amp;dst=1005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240&amp;dst=101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41129&amp;dst=100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41129&amp;dst=1000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3445</Characters>
  <Application>Microsoft Office Word</Application>
  <DocSecurity>0</DocSecurity>
  <Lines>28</Lines>
  <Paragraphs>8</Paragraphs>
  <ScaleCrop>false</ScaleCrop>
  <Company>*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7</cp:revision>
  <cp:lastPrinted>2024-11-02T04:36:00Z</cp:lastPrinted>
  <dcterms:created xsi:type="dcterms:W3CDTF">2024-07-17T06:28:00Z</dcterms:created>
  <dcterms:modified xsi:type="dcterms:W3CDTF">2024-11-20T05:31:00Z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