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000" cy="88519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200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23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- ЮГРА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22"/>
        <w:spacing w:after="0" w:line="24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1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9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29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от 3</w:t>
      </w:r>
      <w:r>
        <w:rPr>
          <w:rFonts w:ascii="Times New Roman" w:hAnsi="Times New Roman"/>
        </w:rPr>
        <w:t xml:space="preserve"> декабря 2024 года</w:t>
        <w:tab/>
        <w:tab/>
        <w:tab/>
        <w:tab/>
        <w:tab/>
      </w:r>
      <w:r>
        <w:rPr>
          <w:rFonts w:ascii="Times New Roman" w:hAnsi="Times New Roman"/>
        </w:rPr>
        <w:tab/>
        <w:tab/>
        <w:t xml:space="preserve">                           № 827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29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(в редакции постановления администрации Белоярского района 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от 18 июня 2025 года №396, от 25 ноября 2025 года №771, от 24 декабря 2025 года №876, от 26 января 2026 года №37)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3 сентября 2018 года № 776 «Об утверждении Порядка </w:t>
      </w:r>
      <w:r>
        <w:rPr>
          <w:rFonts w:ascii="Times New Roman" w:hAnsi="Times New Roman"/>
          <w:sz w:val="24"/>
          <w:szCs w:val="24"/>
        </w:rPr>
        <w:t xml:space="preserve">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9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 А.В.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0"/>
        <w:jc w:val="both"/>
        <w:rPr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576" w:left="1701" w:header="708" w:footer="709" w:gutter="0"/>
          <w:cols w:num="1" w:sep="0" w:space="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left="5381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3 декабря 2024 года № 827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Основные положения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15310" w:type="dxa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77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по делам гражданской обороны и чрезвычайным ситуациям администрации Белоярского района (далее – отдел ГО и ЧС)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2025-2030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Цель 1 «Повышение уровня защиты населения и территории Белоярского района от угроз природного, техногенного  характера и пожарной безопасности»;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Цель 2 «Обеспечение безопасности населения Белоярского района в местах массового отдыха на водных объектах»;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/>
              </w:rPr>
              <w:t xml:space="preserve">Цель 3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0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6838" w:h="11906" w:orient="landscape"/>
          <w:pgMar w:top="1701" w:right="1134" w:bottom="850" w:left="1574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5310" w:type="dxa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77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тысяч рублей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244" w:type="dxa"/>
        <w:tblInd w:w="-86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"/>
        <w:gridCol w:w="2697"/>
        <w:gridCol w:w="1113"/>
        <w:gridCol w:w="1037"/>
        <w:gridCol w:w="673"/>
        <w:gridCol w:w="644"/>
        <w:gridCol w:w="644"/>
        <w:gridCol w:w="644"/>
        <w:gridCol w:w="644"/>
        <w:gridCol w:w="644"/>
        <w:gridCol w:w="644"/>
        <w:gridCol w:w="2160"/>
        <w:gridCol w:w="1627"/>
        <w:gridCol w:w="1558"/>
        <w:gridCol w:w="9"/>
      </w:tblGrid>
      <w:tr>
        <w:tblPrEx/>
        <w:trPr>
          <w:gridAfter w:val="1"/>
          <w:trHeight w:val="38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627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54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18"/>
                <w:szCs w:val="18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4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Цель 1 «Повышение уровня защиты населения и территории Белоярского района от угроз природного, техногенного  характера и пожарной безопасности».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Обеспеченность резервами (запасами) материальных ресурсов для ликвидации последствий чрезвычайных ситуаций и в целях гражданской обороны, от установленных норм обеспечения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администрации Белоярского района №1300 от 22.09.2014 года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отдел ГО и ЧС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After w:val="1"/>
          <w:trHeight w:val="1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Доля населения Белоярского района прошедшего обучение в области гражданской обороны, защиты от чрезвычайных ситуаций природного и техногенного характера и пожарной безопасности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процент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97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Методические рекомендации по сбору и обмену информацией в области гражданской обороны (утверждены  МЧС России  от 17.06.2016 № 2-4-71-34-11)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отдел ГО и ЧС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Количество населенных пунктов, в которых</w:t>
            </w:r>
            <w:r>
              <w:rPr>
                <w:rFonts w:ascii="Times New Roman" w:hAnsi="Times New Roman" w:eastAsia="SimSun"/>
                <w:color w:val="ff000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 w:bidi="ar"/>
              </w:rPr>
              <w:t xml:space="preserve">проведены 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противоэпидемиологические мероприятия по снижению численности кровососущих комаров и барьерной дератизации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Зак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он ХМАО - Югры от 23.12.2016 №102-оз «О наделении органов местного самоуправления муниципальных образований ХМАО - Югры отдельными государственными полномочиями по организации осуществлении мероприятий по проведению дезинсекции и дератизации в ХМАО - Югре»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отдел ГО и ЧС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4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Цель 2 «Обеспечение безопасности населения Белоярского района в местах массового отдыха на водных объектах»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Количество происшествий в период работы городского пляжа озера Нешинелор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eastAsia" w:ascii="SimSun" w:hAnsi="SimSun" w:eastAsia="SimSun" w:cs="SimSun"/>
                <w:color w:val="000000"/>
                <w:sz w:val="18"/>
                <w:szCs w:val="18"/>
                <w:lang w:eastAsia="zh-CN" w:bidi="ar"/>
              </w:rPr>
              <w:t xml:space="preserve">≦</w:t>
            </w: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Российской Федерации от 29.04.1995 №444 «О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отдел ГО и ЧС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4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Цель 3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района»».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балл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Приказ Росстандарта от 27.01.2021 № 25-ст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«Об утверждении национального стандарта Российской Федерации» (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ГОСТ          Р 22.7.01-2021 «Безопасность в чрезвычайных ситуациях. Единая дежурно-диспетчерская служба. Основные положения»)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отдел ГО и ЧС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r>
          </w:p>
        </w:tc>
      </w:tr>
    </w:tbl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311" w:type="dxa"/>
        <w:tblInd w:w="-8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0"/>
        <w:gridCol w:w="4140"/>
        <w:gridCol w:w="6120"/>
        <w:gridCol w:w="4371"/>
      </w:tblGrid>
      <w:tr>
        <w:tblPrEx/>
        <w:trPr>
          <w:trHeight w:val="71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/>
          </w:tcPr>
          <w:p>
            <w:pPr>
              <w:pStyle w:val="92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№</w:t>
            </w: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 п/п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center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Задачи структурного элемента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center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Связь с показателями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bottom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bottom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bottom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1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Ответственный за реализацию: 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ГО и ЧС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0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Противопожарная пропаганда и обучение населения городского поселения Белоярский мерам пожарной безопасности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организовано оповещение и информирование населения об опасностях, возникающих при пожарах;</w:t>
              <w:br w:type="textWrapping" w:clear="all"/>
              <w:t xml:space="preserve">реализованы мероприятия по обучению населения правилам поведения, основным способам защиты и действиям при пожарах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Доля населения Белоярского района прошедшего обучение в области гражданской обороны, защиты от чрезвычайных ситуаций природного и техногенного характера и пожарной безопасности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Комплекс процессных мероприятий «Пополнение и обеспечение сохранности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Ответственный за реализацию: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отдел ГО и ЧС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1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Обеспечение материально-техническими средствами, предназначенными для предупреждения и ликвидации последствий чрезвычайных ситуаций природного и техногенного характера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реализованы мероприятия по формированию резервов материальных ресурсов (запасов) в целях экстренного привлечения необходимых средств в случае возникновения чрезвычайных ситуаций природного и техногенного характера и в целях гражданской обороны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Обеспеченность резервами (запасами)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обороны, от установленных норм обеспечения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Ответственный за реализацию: 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ГО и ЧС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Повышение эффективности мер защиты населения Белоярского района от чрезвычайных ситуаций природного и техногенного характера, а также в целях гражданской обороны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реализованы мероприятия 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по повышению уровня навыков применения правил поведения, основным способам защиты и действиям в чрезвычайных ситуациях природного и техногенного характера, приемам оказания первой помощи п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острадавшим, правилам пользования коллективными и индивидуальными средствами защиты при подготовке населения в области гражданской обороны и защиты населения от чрезвычайных ситуаций риродного и техногенного характера путем обучения, повышения квалификации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Доля населения Белоярского района прошедшего обучение в области гражданской обороны, защиты от чрезвычайных ситуаций природного и техногенного характера и пожарной безопасности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1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Ответственный за реализацию:</w:t>
            </w: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 w:themeColor="text1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 отдел ГО и ЧС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Обеспечение санитарно-эпидемиологического благополучия населения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реализованы мероприятия 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по проведению дезинсекции и дератизации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Количество населенных пунктов, в которых </w:t>
            </w:r>
            <w:r>
              <w:rPr>
                <w:rFonts w:ascii="Times New Roman" w:hAnsi="Times New Roman" w:eastAsia="SimSun"/>
                <w:lang w:eastAsia="zh-CN" w:bidi="ar"/>
              </w:rPr>
              <w:t xml:space="preserve">проведены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 противоэпидемиологические мероприятия по снижению численности кровососущих комаров и барьерной дератизации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Ответственный за реализацию: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ГО и ЧС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9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40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Повышение эффективности принимаемых мер направленных на обеспечение безопасности населения на городском пляже озера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Нешинелор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. Белоярский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20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Реализованы мероприятия по развитию системы защищенности населения и обеспечения безопасности на водных объектах, в том числе: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br/>
              <w:t xml:space="preserve">- организация пляжей, обозначение границ купания ограждающими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буйками;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br/>
              <w:t xml:space="preserve">- проведение очистки дна акватории пляжа;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br/>
              <w:t xml:space="preserve">- организация спасательного поста;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br/>
              <w:t xml:space="preserve">- организация дежурства спасателей;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br/>
              <w:t xml:space="preserve">- организация информирования населения.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zh-CN" w:bidi="ar"/>
              </w:rPr>
              <w:t xml:space="preserve">Реализован инициативный проект граждан «Благоустройство зоны отдыха городского пляжа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zh-CN" w:bidi="ar"/>
              </w:rPr>
              <w:t xml:space="preserve">г.Белоярский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zh-CN" w:bidi="ar"/>
              </w:rPr>
              <w:t xml:space="preserve"> на озере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zh-CN" w:bidi="ar"/>
              </w:rPr>
              <w:t xml:space="preserve">Нешинелор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zh-CN" w:bidi="ar"/>
              </w:rPr>
              <w:t xml:space="preserve">» в 2025 году.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7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Количество происшествий в период работы городского пляжа озера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Нешинелор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zh-CN" w:bidi="ar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63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SimSun"/>
                <w:color w:val="000000" w:themeColor="text1"/>
                <w:lang w:eastAsia="zh-CN" w:bidi="ar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4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 w:eastAsia="SimSun"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Ответственный за реализацию: 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ГО и ЧС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20" w:type="dxa"/>
            <w:vAlign w:val="top"/>
            <w:textDirection w:val="lrTb"/>
            <w:noWrap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blPrEx/>
        <w:trPr>
          <w:trHeight w:val="176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80" w:type="dxa"/>
            <w:vAlign w:val="top"/>
            <w:textDirection w:val="lrTb"/>
            <w:noWrap/>
          </w:tcPr>
          <w:p>
            <w:pPr>
              <w:pStyle w:val="920"/>
              <w:jc w:val="center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6.1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Обеспечение деятельности МКУ «Единая дежурно-диспетчерская служба Белоярского района»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120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Создание условий для функционирования единой государственной системы предупреждения и ликвидации чрезвычайных ситуаций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71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Оценочные показатели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9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776"/>
        <w:tblW w:w="0" w:type="auto"/>
        <w:tblInd w:w="-927" w:type="dxa"/>
        <w:tblLayout w:type="fixed"/>
        <w:tblLook w:val="04A0" w:firstRow="1" w:lastRow="0" w:firstColumn="1" w:lastColumn="0" w:noHBand="0" w:noVBand="1"/>
      </w:tblPr>
      <w:tblGrid>
        <w:gridCol w:w="595"/>
        <w:gridCol w:w="6519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34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7" w:type="dxa"/>
            <w:vAlign w:val="center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bottom"/>
            <w:vMerge w:val="restart"/>
            <w:textDirection w:val="lrTb"/>
            <w:noWrap w:val="false"/>
          </w:tcPr>
          <w:p>
            <w:pPr>
              <w:ind w:left="57" w:right="-57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23 764,6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25 730,6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25 432,0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25 462,8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25 462,8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25 462,8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151 315,6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3 627,6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23 160,0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25 126,0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24 827,4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24 858,2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24 858,2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24 858,2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147 688,0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1 290,3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1 007,0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5 243,7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1 290,3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1 007,0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5 243,7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4 391,3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4 391,3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top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2 097,3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2 097,3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3 627,6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3 627,6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2 312,4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shd w:val="clear" w:color="ffffff" w:themeColor="background1" w:fill="ffffff" w:themeFill="background1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2 312,4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20 966,0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23 343,8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23 393,1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137 974,6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20 966,0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23 343,8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23 393,1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137 974,6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результат «Обеспечение деятельности МКУ «Единая дежурно-диспетчерская служба Белоярского района»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20 966,0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23 343,8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23 393,1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137 974,6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9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 w:line="17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20 966,0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23 343,8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23 393,1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23 423,9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57" w:right="-57"/>
              <w:jc w:val="center"/>
              <w:spacing w:after="0" w:afterAutospacing="0" w:line="283" w:lineRule="atLeast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137 974,6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contextualSpacing w:val="0"/>
        <w:jc w:val="right"/>
        <w:spacing w:after="0" w:line="240" w:lineRule="auto"/>
        <w:suppressLineNumbers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09724" cy="95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524288;mso-wrap-distance-left:9.00pt;mso-wrap-distance-top:0.00pt;mso-wrap-distance-right:9.00pt;mso-wrap-distance-bottom:0.00pt;flip:y;visibility:visible;" from="300.6pt,1.6pt" to="427.4pt,2.4pt" filled="f" strokecolor="#000000"/>
            </w:pict>
          </mc:Fallback>
        </mc:AlternateContent>
      </w:r>
      <w:r/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701" w:right="1134" w:bottom="850" w:left="1574" w:header="708" w:footer="708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92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93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</w:r>
                  </w:p>
                  <w:p>
                    <w:pPr>
                      <w:pStyle w:val="92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lang w:val="en-US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  <w:r>
                            <w:rPr>
                              <w:rFonts w:ascii="Times New Roman" w:hAnsi="Times New Roman"/>
                            </w:rPr>
                          </w: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92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93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</w:r>
                    <w:r>
                      <w:rPr>
                        <w:rFonts w:ascii="Times New Roman" w:hAnsi="Times New Roman"/>
                      </w:rPr>
                    </w:r>
                    <w:r>
                      <w:rPr>
                        <w:rFonts w:ascii="Times New Roman" w:hAnsi="Times New Roman"/>
                      </w:rPr>
                    </w:r>
                  </w:p>
                  <w:p>
                    <w:pPr>
                      <w:pStyle w:val="92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20"/>
    <w:next w:val="92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20"/>
    <w:next w:val="920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20"/>
    <w:next w:val="920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20"/>
    <w:next w:val="920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20"/>
    <w:next w:val="920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20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21">
    <w:name w:val="Заголовок 1"/>
    <w:basedOn w:val="920"/>
    <w:next w:val="920"/>
    <w:link w:val="920"/>
    <w:qFormat/>
    <w:pPr>
      <w:jc w:val="center"/>
      <w:keepNext/>
      <w:outlineLvl w:val="0"/>
    </w:pPr>
    <w:rPr>
      <w:b/>
      <w:sz w:val="28"/>
    </w:rPr>
  </w:style>
  <w:style w:type="paragraph" w:styleId="922">
    <w:name w:val="Заголовок 2"/>
    <w:basedOn w:val="920"/>
    <w:next w:val="920"/>
    <w:link w:val="920"/>
    <w:qFormat/>
    <w:pPr>
      <w:jc w:val="center"/>
      <w:keepNext/>
      <w:outlineLvl w:val="1"/>
    </w:pPr>
    <w:rPr>
      <w:b/>
      <w:sz w:val="24"/>
    </w:rPr>
  </w:style>
  <w:style w:type="paragraph" w:styleId="923">
    <w:name w:val="Заголовок 3"/>
    <w:basedOn w:val="920"/>
    <w:next w:val="920"/>
    <w:link w:val="920"/>
    <w:qFormat/>
    <w:pPr>
      <w:jc w:val="center"/>
      <w:keepNext/>
      <w:outlineLvl w:val="2"/>
    </w:pPr>
    <w:rPr>
      <w:sz w:val="28"/>
    </w:rPr>
  </w:style>
  <w:style w:type="character" w:styleId="924">
    <w:name w:val="Основной шрифт абзаца"/>
    <w:next w:val="924"/>
    <w:link w:val="920"/>
    <w:uiPriority w:val="1"/>
    <w:semiHidden/>
    <w:unhideWhenUsed/>
  </w:style>
  <w:style w:type="table" w:styleId="925">
    <w:name w:val="Обычная таблица"/>
    <w:next w:val="925"/>
    <w:link w:val="920"/>
    <w:uiPriority w:val="99"/>
    <w:semiHidden/>
    <w:unhideWhenUsed/>
    <w:tblPr/>
  </w:style>
  <w:style w:type="numbering" w:styleId="926">
    <w:name w:val="Нет списка"/>
    <w:next w:val="926"/>
    <w:link w:val="920"/>
    <w:uiPriority w:val="99"/>
    <w:semiHidden/>
    <w:unhideWhenUsed/>
  </w:style>
  <w:style w:type="character" w:styleId="927">
    <w:name w:val="Знак сноски"/>
    <w:next w:val="927"/>
    <w:link w:val="920"/>
    <w:uiPriority w:val="99"/>
    <w:unhideWhenUsed/>
    <w:qFormat/>
    <w:rPr>
      <w:vertAlign w:val="superscript"/>
    </w:rPr>
  </w:style>
  <w:style w:type="paragraph" w:styleId="928">
    <w:name w:val="Текст выноски"/>
    <w:basedOn w:val="920"/>
    <w:next w:val="928"/>
    <w:link w:val="9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29">
    <w:name w:val="Основной текст с отступом 3"/>
    <w:basedOn w:val="920"/>
    <w:next w:val="929"/>
    <w:link w:val="920"/>
    <w:qFormat/>
    <w:pPr>
      <w:jc w:val="center"/>
    </w:pPr>
    <w:rPr>
      <w:sz w:val="24"/>
    </w:rPr>
  </w:style>
  <w:style w:type="paragraph" w:styleId="930">
    <w:name w:val="Текст концевой сноски"/>
    <w:basedOn w:val="920"/>
    <w:next w:val="930"/>
    <w:link w:val="936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931">
    <w:name w:val="Текст сноски"/>
    <w:basedOn w:val="920"/>
    <w:next w:val="931"/>
    <w:link w:val="93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932">
    <w:name w:val="Верхний колонтитул"/>
    <w:basedOn w:val="920"/>
    <w:next w:val="932"/>
    <w:link w:val="920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933">
    <w:name w:val="Нижний колонтитул"/>
    <w:basedOn w:val="920"/>
    <w:next w:val="933"/>
    <w:link w:val="920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934">
    <w:name w:val="ConsPlusNormal"/>
    <w:next w:val="934"/>
    <w:link w:val="92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35">
    <w:name w:val="ConsPlusNonformat"/>
    <w:next w:val="935"/>
    <w:link w:val="92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36">
    <w:name w:val="Текст концевой сноски Знак"/>
    <w:next w:val="936"/>
    <w:link w:val="930"/>
    <w:uiPriority w:val="99"/>
    <w:rPr>
      <w:rFonts w:ascii="Calibri" w:hAnsi="Calibri" w:eastAsia="Calibri" w:cs="Times New Roman"/>
      <w:sz w:val="20"/>
      <w:szCs w:val="20"/>
    </w:rPr>
  </w:style>
  <w:style w:type="character" w:styleId="937">
    <w:name w:val="Текст сноски Знак"/>
    <w:next w:val="937"/>
    <w:link w:val="931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938">
    <w:name w:val="Текст выноски Знак"/>
    <w:next w:val="938"/>
    <w:link w:val="928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BordunAO</cp:lastModifiedBy>
  <cp:revision>5</cp:revision>
  <dcterms:created xsi:type="dcterms:W3CDTF">2025-06-24T11:13:00Z</dcterms:created>
  <dcterms:modified xsi:type="dcterms:W3CDTF">2026-01-26T11:51:07Z</dcterms:modified>
  <cp:version>917504</cp:version>
</cp:coreProperties>
</file>