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CB0">
      <w:pPr>
        <w:autoSpaceDE w:val="0"/>
        <w:autoSpaceDN w:val="0"/>
        <w:adjustRightInd w:val="0"/>
        <w:ind w:firstLine="709"/>
        <w:jc w:val="both"/>
        <w:rPr>
          <w:rFonts w:hint="default"/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  <w:t>П</w:t>
      </w:r>
      <w:r>
        <w:rPr>
          <w:b/>
          <w:bCs/>
          <w:highlight w:val="none"/>
        </w:rPr>
        <w:t xml:space="preserve">роверка предоставления и использования субсидий предоставленных из бюджета Белоярского района </w:t>
      </w:r>
      <w:r>
        <w:rPr>
          <w:b/>
          <w:bCs/>
          <w:highlight w:val="none"/>
          <w:lang w:val="ru-RU"/>
        </w:rPr>
        <w:t>м</w:t>
      </w:r>
      <w:r>
        <w:rPr>
          <w:b/>
          <w:bCs/>
          <w:highlight w:val="none"/>
        </w:rPr>
        <w:t>униципально</w:t>
      </w:r>
      <w:r>
        <w:rPr>
          <w:b/>
          <w:bCs/>
          <w:highlight w:val="none"/>
          <w:lang w:val="ru-RU"/>
        </w:rPr>
        <w:t>му</w:t>
      </w:r>
      <w:r>
        <w:rPr>
          <w:b/>
          <w:bCs/>
          <w:highlight w:val="none"/>
        </w:rPr>
        <w:t xml:space="preserve"> автономно</w:t>
      </w:r>
      <w:r>
        <w:rPr>
          <w:b/>
          <w:bCs/>
          <w:highlight w:val="none"/>
          <w:lang w:val="ru-RU"/>
        </w:rPr>
        <w:t>му</w:t>
      </w:r>
      <w:r>
        <w:rPr>
          <w:b/>
          <w:bCs/>
          <w:highlight w:val="none"/>
        </w:rPr>
        <w:t xml:space="preserve"> общеобразовательно</w:t>
      </w:r>
      <w:r>
        <w:rPr>
          <w:b/>
          <w:bCs/>
          <w:highlight w:val="none"/>
          <w:lang w:val="ru-RU"/>
        </w:rPr>
        <w:t>му</w:t>
      </w:r>
      <w:r>
        <w:rPr>
          <w:b/>
          <w:bCs/>
          <w:highlight w:val="none"/>
        </w:rPr>
        <w:t xml:space="preserve"> учреждени</w:t>
      </w:r>
      <w:r>
        <w:rPr>
          <w:b/>
          <w:bCs/>
          <w:highlight w:val="none"/>
          <w:lang w:val="ru-RU"/>
        </w:rPr>
        <w:t>ю</w:t>
      </w:r>
      <w:r>
        <w:rPr>
          <w:b/>
          <w:bCs/>
          <w:highlight w:val="none"/>
        </w:rPr>
        <w:t xml:space="preserve"> Белоярского района «Средняя общеобразовательная школа п. Верхнеказымский»</w:t>
      </w:r>
      <w:r>
        <w:rPr>
          <w:rFonts w:hint="default"/>
          <w:b/>
          <w:bCs/>
          <w:highlight w:val="none"/>
          <w:lang w:val="ru-RU"/>
        </w:rPr>
        <w:t xml:space="preserve"> </w:t>
      </w:r>
    </w:p>
    <w:p w14:paraId="6D899832">
      <w:pPr>
        <w:autoSpaceDE w:val="0"/>
        <w:autoSpaceDN w:val="0"/>
        <w:adjustRightInd w:val="0"/>
        <w:ind w:firstLine="709"/>
        <w:jc w:val="both"/>
        <w:rPr>
          <w:b/>
          <w:bCs/>
          <w:highlight w:val="green"/>
        </w:rPr>
      </w:pPr>
    </w:p>
    <w:p w14:paraId="13B9507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highlight w:val="none"/>
          <w:lang w:eastAsia="en-US"/>
        </w:rPr>
        <w:t>Основание для проведения контрольного мероприятия:</w:t>
      </w:r>
      <w:r>
        <w:rPr>
          <w:color w:val="auto"/>
          <w:highlight w:val="none"/>
        </w:rPr>
        <w:t xml:space="preserve"> пункт 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год, </w:t>
      </w:r>
      <w:r>
        <w:rPr>
          <w:color w:val="auto"/>
          <w:highlight w:val="none"/>
          <w:lang w:val="ru-RU"/>
        </w:rPr>
        <w:t>утверждённого</w:t>
      </w:r>
      <w:r>
        <w:rPr>
          <w:color w:val="auto"/>
          <w:highlight w:val="none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>10</w:t>
      </w:r>
      <w:r>
        <w:rPr>
          <w:color w:val="auto"/>
          <w:highlight w:val="none"/>
        </w:rPr>
        <w:t xml:space="preserve"> декабря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52</w:t>
      </w:r>
      <w:r>
        <w:rPr>
          <w:color w:val="auto"/>
          <w:highlight w:val="none"/>
        </w:rPr>
        <w:t>-р «Об утверждении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>21 мая 2025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43</w:t>
      </w:r>
      <w:r>
        <w:rPr>
          <w:color w:val="auto"/>
          <w:highlight w:val="none"/>
        </w:rPr>
        <w:t>-о «О проведении контрольного мероприятия».</w:t>
      </w:r>
    </w:p>
    <w:p w14:paraId="3B878FEA">
      <w:pPr>
        <w:ind w:firstLine="709"/>
        <w:jc w:val="both"/>
        <w:rPr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Проверяемый период деятельности: с 1 января 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2023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года по 31 декабря 202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года.</w:t>
      </w:r>
    </w:p>
    <w:p w14:paraId="5789D1E6">
      <w:pPr>
        <w:spacing w:line="100" w:lineRule="atLeast"/>
        <w:ind w:right="-2" w:firstLine="709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>Срок проведения контрольного мероприятия с</w:t>
      </w:r>
      <w:r>
        <w:rPr>
          <w:rFonts w:eastAsia="Calibri"/>
          <w:color w:val="000000" w:themeColor="text1"/>
          <w:highlight w:val="none"/>
          <w:lang w:val="ru-RU" w:eastAsia="en-US"/>
          <w14:textFill>
            <w14:solidFill>
              <w14:schemeClr w14:val="tx1"/>
            </w14:solidFill>
          </w14:textFill>
        </w:rPr>
        <w:t>о</w:t>
      </w: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Calibri"/>
          <w:color w:val="000000" w:themeColor="text1"/>
          <w:highlight w:val="none"/>
          <w:lang w:val="en-US" w:eastAsia="en-US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default" w:eastAsia="Calibri"/>
          <w:color w:val="000000" w:themeColor="text1"/>
          <w:highlight w:val="none"/>
          <w:lang w:val="ru-RU" w:eastAsia="en-US"/>
          <w14:textFill>
            <w14:solidFill>
              <w14:schemeClr w14:val="tx1"/>
            </w14:solidFill>
          </w14:textFill>
        </w:rPr>
        <w:t>июня 2025 года по 25 июня 2025</w:t>
      </w: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C3F3845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Общий объем проверенных средств составляет</w:t>
      </w:r>
      <w:r>
        <w:rPr>
          <w:rFonts w:hint="default"/>
          <w:color w:val="auto"/>
          <w:highlight w:val="none"/>
          <w:lang w:val="ru-RU"/>
        </w:rPr>
        <w:t xml:space="preserve"> 17 538 092</w:t>
      </w:r>
      <w:r>
        <w:rPr>
          <w:color w:val="auto"/>
          <w:highlight w:val="none"/>
        </w:rPr>
        <w:t xml:space="preserve"> руб</w:t>
      </w:r>
      <w:r>
        <w:rPr>
          <w:color w:val="auto"/>
          <w:highlight w:val="none"/>
          <w:lang w:val="ru-RU"/>
        </w:rPr>
        <w:t>ля</w:t>
      </w:r>
      <w:r>
        <w:rPr>
          <w:color w:val="auto"/>
          <w:highlight w:val="none"/>
        </w:rPr>
        <w:t xml:space="preserve"> </w:t>
      </w:r>
      <w:r>
        <w:rPr>
          <w:rFonts w:hint="default"/>
          <w:color w:val="auto"/>
          <w:highlight w:val="none"/>
          <w:lang w:val="ru-RU"/>
        </w:rPr>
        <w:t>12</w:t>
      </w:r>
      <w:r>
        <w:rPr>
          <w:color w:val="auto"/>
          <w:highlight w:val="none"/>
        </w:rPr>
        <w:t xml:space="preserve"> коп</w:t>
      </w:r>
      <w:r>
        <w:rPr>
          <w:color w:val="auto"/>
          <w:highlight w:val="none"/>
          <w:lang w:val="ru-RU"/>
        </w:rPr>
        <w:t>еек</w:t>
      </w:r>
      <w:r>
        <w:rPr>
          <w:color w:val="auto"/>
          <w:highlight w:val="none"/>
        </w:rPr>
        <w:t xml:space="preserve">. </w:t>
      </w:r>
    </w:p>
    <w:p w14:paraId="187832EF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Объем выявленных нарушений в суммовом выражении </w:t>
      </w:r>
      <w:r>
        <w:rPr>
          <w:color w:val="auto"/>
          <w:highlight w:val="none"/>
          <w:lang w:val="ru-RU"/>
        </w:rPr>
        <w:t>составляет</w:t>
      </w:r>
      <w:r>
        <w:rPr>
          <w:rFonts w:hint="default"/>
          <w:color w:val="auto"/>
          <w:highlight w:val="none"/>
          <w:lang w:val="ru-RU"/>
        </w:rPr>
        <w:t xml:space="preserve"> 814 рублей 40 копеек</w:t>
      </w:r>
      <w:r>
        <w:rPr>
          <w:color w:val="auto"/>
          <w:highlight w:val="none"/>
        </w:rPr>
        <w:t>.</w:t>
      </w:r>
    </w:p>
    <w:p w14:paraId="35A57E78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Количество выявленных нарушений – </w:t>
      </w:r>
      <w:r>
        <w:rPr>
          <w:rFonts w:hint="default"/>
          <w:color w:val="auto"/>
          <w:highlight w:val="none"/>
          <w:lang w:val="ru-RU"/>
        </w:rPr>
        <w:t>20</w:t>
      </w:r>
      <w:bookmarkStart w:id="0" w:name="_GoBack"/>
      <w:bookmarkEnd w:id="0"/>
      <w:r>
        <w:rPr>
          <w:color w:val="auto"/>
          <w:highlight w:val="none"/>
        </w:rPr>
        <w:t>:</w:t>
      </w:r>
    </w:p>
    <w:p w14:paraId="1D2839ED">
      <w:pPr>
        <w:ind w:firstLine="567"/>
        <w:jc w:val="both"/>
        <w:rPr>
          <w:rFonts w:hint="default"/>
          <w:color w:val="auto"/>
          <w:sz w:val="24"/>
          <w:szCs w:val="24"/>
          <w:highlight w:val="none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- </w:t>
      </w:r>
      <w:r>
        <w:rPr>
          <w:color w:val="auto"/>
          <w:sz w:val="24"/>
          <w:szCs w:val="24"/>
          <w:highlight w:val="none"/>
          <w:lang w:val="ru-RU"/>
        </w:rPr>
        <w:t>одно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 нарушение</w:t>
      </w:r>
      <w:r>
        <w:rPr>
          <w:color w:val="auto"/>
          <w:sz w:val="24"/>
          <w:szCs w:val="24"/>
          <w:highlight w:val="none"/>
        </w:rPr>
        <w:t xml:space="preserve"> </w:t>
      </w:r>
      <w:r>
        <w:rPr>
          <w:color w:val="auto"/>
          <w:sz w:val="24"/>
          <w:szCs w:val="24"/>
          <w:highlight w:val="none"/>
          <w:lang w:val="ru-RU"/>
        </w:rPr>
        <w:t>пункта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  <w:t>9 раздела 3 приказа Минфина РФ № 274н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>;</w:t>
      </w:r>
    </w:p>
    <w:p w14:paraId="37362A74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- два нарушения статьи </w:t>
      </w:r>
      <w:r>
        <w:rPr>
          <w:rFonts w:hint="default"/>
          <w:sz w:val="24"/>
          <w:szCs w:val="24"/>
          <w:highlight w:val="none"/>
          <w:lang w:val="ru-RU"/>
        </w:rPr>
        <w:t>9</w:t>
      </w:r>
      <w:r>
        <w:rPr>
          <w:sz w:val="24"/>
          <w:szCs w:val="24"/>
          <w:highlight w:val="none"/>
        </w:rPr>
        <w:t xml:space="preserve"> Закона о бухгалтерском </w:t>
      </w:r>
      <w:r>
        <w:rPr>
          <w:sz w:val="24"/>
          <w:szCs w:val="24"/>
          <w:highlight w:val="none"/>
          <w:lang w:val="ru-RU"/>
        </w:rPr>
        <w:t>учёте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 w14:paraId="62766B62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color w:val="auto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приказа Минфина № 52н; </w:t>
      </w:r>
    </w:p>
    <w:p w14:paraId="4CD08330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color w:val="auto"/>
          <w:sz w:val="24"/>
          <w:szCs w:val="24"/>
          <w:highlight w:val="none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>- два нарушения пункта 4.27 Решения Думы Белоярского района № 42;</w:t>
      </w:r>
    </w:p>
    <w:p w14:paraId="0CBF2F90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 w:cs="Times New Roman"/>
          <w:sz w:val="24"/>
          <w:szCs w:val="24"/>
          <w:highlight w:val="none"/>
          <w:lang w:val="en-US" w:eastAsia="ru-RU" w:bidi="ar-SA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- два нарушения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>подпункт</w:t>
      </w: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 xml:space="preserve"> 1 пункту 4.25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 w:bidi="ar-SA"/>
        </w:rPr>
        <w:t>решения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 xml:space="preserve"> Белоярского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 w:bidi="ar-SA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>42</w:t>
      </w: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>;</w:t>
      </w:r>
    </w:p>
    <w:p w14:paraId="2DC3C4A6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 w:cs="Times New Roman"/>
          <w:sz w:val="24"/>
          <w:szCs w:val="24"/>
          <w:highlight w:val="none"/>
          <w:lang w:val="en-US" w:eastAsia="ru-RU" w:bidi="ar-SA"/>
        </w:rPr>
      </w:pP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 xml:space="preserve">- одно нарушение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>пункт</w:t>
      </w: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 xml:space="preserve"> 4.29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 w:bidi="ar-SA"/>
        </w:rPr>
        <w:t>решения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 xml:space="preserve"> Белоярского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 w:bidi="ar-SA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 w:bidi="ar-SA"/>
        </w:rPr>
        <w:t>42</w:t>
      </w: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>;</w:t>
      </w:r>
    </w:p>
    <w:p w14:paraId="013D22C9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en-US" w:eastAsia="ru-RU" w:bidi="ar-SA"/>
        </w:rPr>
        <w:t xml:space="preserve">- одно нарушение </w:t>
      </w:r>
      <w:r>
        <w:rPr>
          <w:rFonts w:ascii="Times New Roman" w:hAnsi="Times New Roman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>пункт</w:t>
      </w:r>
      <w:r>
        <w:rPr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>а</w:t>
      </w:r>
      <w:r>
        <w:rPr>
          <w:rFonts w:ascii="Times New Roman" w:hAnsi="Times New Roman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 xml:space="preserve"> 4.9 решения Думы</w:t>
      </w:r>
      <w:r>
        <w:rPr>
          <w:rFonts w:hint="default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 xml:space="preserve"> Белоярского района </w:t>
      </w:r>
      <w:r>
        <w:rPr>
          <w:rFonts w:ascii="Times New Roman" w:hAnsi="Times New Roman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>№ 42</w:t>
      </w:r>
      <w:r>
        <w:rPr>
          <w:rFonts w:hint="default"/>
          <w:b w:val="0"/>
          <w:bCs/>
          <w:i w:val="0"/>
          <w:iCs/>
          <w:color w:val="auto"/>
          <w:sz w:val="24"/>
          <w:szCs w:val="24"/>
          <w:highlight w:val="none"/>
          <w:lang w:val="ru-RU"/>
        </w:rPr>
        <w:t>;</w:t>
      </w:r>
    </w:p>
    <w:p w14:paraId="1A5A777E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color w:val="auto"/>
          <w:sz w:val="24"/>
          <w:szCs w:val="24"/>
          <w:highlight w:val="none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- два нарушения </w:t>
      </w:r>
      <w:r>
        <w:rPr>
          <w:color w:val="auto"/>
          <w:sz w:val="24"/>
          <w:szCs w:val="24"/>
          <w:highlight w:val="none"/>
        </w:rPr>
        <w:t xml:space="preserve">Порядка 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>предоставления субсидии на иные цели, утверждённого</w:t>
      </w:r>
      <w:r>
        <w:rPr>
          <w:rFonts w:hint="default"/>
          <w:bCs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>Постановлением № 753;</w:t>
      </w:r>
    </w:p>
    <w:p w14:paraId="0DA2D08D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color w:val="auto"/>
          <w:sz w:val="24"/>
          <w:szCs w:val="24"/>
          <w:highlight w:val="none"/>
          <w:lang w:val="ru-RU" w:eastAsia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- семь нарушений </w:t>
      </w:r>
      <w:r>
        <w:rPr>
          <w:rFonts w:hint="default" w:eastAsia="Calibri"/>
          <w:color w:val="auto"/>
          <w:sz w:val="24"/>
          <w:szCs w:val="24"/>
          <w:highlight w:val="none"/>
          <w:lang w:val="ru-RU"/>
        </w:rPr>
        <w:t xml:space="preserve">пунктом 3.3.4. </w:t>
      </w:r>
      <w:r>
        <w:rPr>
          <w:rFonts w:eastAsia="Calibri"/>
          <w:color w:val="auto"/>
          <w:sz w:val="24"/>
          <w:szCs w:val="24"/>
          <w:highlight w:val="none"/>
        </w:rPr>
        <w:t>Соглашени</w:t>
      </w:r>
      <w:r>
        <w:rPr>
          <w:rFonts w:eastAsia="Calibri"/>
          <w:color w:val="auto"/>
          <w:sz w:val="24"/>
          <w:szCs w:val="24"/>
          <w:highlight w:val="none"/>
          <w:lang w:val="ru-RU"/>
        </w:rPr>
        <w:t>й</w:t>
      </w:r>
      <w:r>
        <w:rPr>
          <w:color w:val="auto"/>
          <w:sz w:val="24"/>
          <w:szCs w:val="24"/>
          <w:highlight w:val="none"/>
        </w:rPr>
        <w:t xml:space="preserve"> </w:t>
      </w:r>
      <w:r>
        <w:rPr>
          <w:color w:val="auto"/>
          <w:sz w:val="24"/>
          <w:szCs w:val="24"/>
          <w:highlight w:val="none"/>
          <w:lang w:val="ru-RU"/>
        </w:rPr>
        <w:t>о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 предоставлении субсидии </w:t>
      </w:r>
      <w:r>
        <w:rPr>
          <w:rFonts w:eastAsia="Calibri"/>
          <w:color w:val="auto"/>
          <w:sz w:val="24"/>
          <w:szCs w:val="24"/>
          <w:highlight w:val="none"/>
        </w:rPr>
        <w:t>на иные цели</w:t>
      </w:r>
      <w:r>
        <w:rPr>
          <w:rFonts w:hint="default" w:eastAsia="Calibri"/>
          <w:color w:val="auto"/>
          <w:sz w:val="24"/>
          <w:szCs w:val="24"/>
          <w:highlight w:val="none"/>
          <w:lang w:val="ru-RU"/>
        </w:rPr>
        <w:t>.</w:t>
      </w:r>
    </w:p>
    <w:p w14:paraId="1995AD1B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</w:p>
    <w:p w14:paraId="08227713">
      <w:pPr>
        <w:ind w:left="0" w:leftChars="0" w:firstLine="720" w:firstLineChars="0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Объекту контроля направлено представление от </w:t>
      </w:r>
      <w:r>
        <w:rPr>
          <w:rFonts w:hint="default"/>
          <w:color w:val="auto"/>
          <w:highlight w:val="none"/>
          <w:lang w:val="ru-RU"/>
        </w:rPr>
        <w:t xml:space="preserve">26 июня </w:t>
      </w:r>
      <w:r>
        <w:rPr>
          <w:color w:val="auto"/>
          <w:highlight w:val="none"/>
        </w:rPr>
        <w:t>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для принятия мер по устранению выявленных нарушений.</w:t>
      </w:r>
    </w:p>
    <w:p w14:paraId="069D14FF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686A33"/>
    <w:rsid w:val="006E2F70"/>
    <w:rsid w:val="00781B3F"/>
    <w:rsid w:val="00A01366"/>
    <w:rsid w:val="00C508F7"/>
    <w:rsid w:val="00DA6C4E"/>
    <w:rsid w:val="00F34BA7"/>
    <w:rsid w:val="02A149C6"/>
    <w:rsid w:val="031966AC"/>
    <w:rsid w:val="06263C3E"/>
    <w:rsid w:val="0B396E57"/>
    <w:rsid w:val="155500A0"/>
    <w:rsid w:val="1B494F77"/>
    <w:rsid w:val="29F44B38"/>
    <w:rsid w:val="31DB44DC"/>
    <w:rsid w:val="365A46BD"/>
    <w:rsid w:val="3F2B025E"/>
    <w:rsid w:val="41891B15"/>
    <w:rsid w:val="4ACF4DCB"/>
    <w:rsid w:val="4D696C4E"/>
    <w:rsid w:val="685D5648"/>
    <w:rsid w:val="6B115B35"/>
    <w:rsid w:val="6E7C24FD"/>
    <w:rsid w:val="70AD3060"/>
    <w:rsid w:val="729F1A9A"/>
    <w:rsid w:val="739765F2"/>
    <w:rsid w:val="76255B63"/>
    <w:rsid w:val="7653708D"/>
    <w:rsid w:val="7F6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2022-02-15T06:41:00Z</dcterms:created>
  <dc:creator>Янюшкина Елена Ивановна</dc:creator>
  <cp:lastModifiedBy>user</cp:lastModifiedBy>
  <dcterms:modified xsi:type="dcterms:W3CDTF">2025-06-26T09:52:48Z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C44CFE6D44124BA48AC97C2B977A150A_12</vt:lpwstr>
  </property>
</Properties>
</file>