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D9D9D9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управление жилищно-коммунального хозяйства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</w:t>
            </w:r>
            <w:r>
              <w:rPr>
                <w:rFonts w:hint="default" w:ascii="Times New Roman" w:hAnsi="Times New Roman"/>
                <w:sz w:val="24"/>
                <w:szCs w:val="24"/>
              </w:rPr>
              <w:t>О внесении изменений в приложение к постановлению администрации Белоярского района от 16 июня 2011 года № 886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0" w:hRule="atLeast"/>
        </w:trPr>
        <w:tc>
          <w:tcPr>
            <w:tcW w:w="9464" w:type="dxa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управление жилищно-коммунального хозяйства администрации Белоярского района.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03.06.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09.06.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(десять календарных дней)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fldChar w:fldCharType="begin"/>
            </w:r>
            <w:r>
              <w:instrText xml:space="preserve"> HYPERLINK "mailto:BoriskinaGN@admbel.ru"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 w:eastAsia="ru-RU"/>
              </w:rPr>
              <w:t>BoriskinaGN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eastAsia="ru-RU"/>
              </w:rPr>
              <w:t>@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 w:eastAsia="ru-RU"/>
              </w:rPr>
              <w:t>admbel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628161, Ханты-Мансийский автономный округ – Югра, г.Белоярский, ул. Центральная, д.9.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Борискина Галина Николаевна, консультант управления жилищно-коммунального хозяйства администрации Белоярского района, тел. 8(34670) 2-13-99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71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</w:rPr>
              <w:t>О внесении изменений в приложение к постановлению администрации Белоярского района от 16 июня 2011 года № 886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» определяет порядок и стандарт предоставления муниципальной услуги администрацией Белоярского района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Административный регламент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 (бездействий) уполномоченного органа, должностных лиц уполномоченного органа, работников МФЦ.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жилищно-коммунального хозяйства администрации 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567" w:right="851" w:bottom="851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921F6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9C318D"/>
    <w:rsid w:val="00A02011"/>
    <w:rsid w:val="00A2418B"/>
    <w:rsid w:val="00A31923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B7F43"/>
    <w:rsid w:val="00CC6916"/>
    <w:rsid w:val="00CD11FD"/>
    <w:rsid w:val="00CF2C36"/>
    <w:rsid w:val="00CF7373"/>
    <w:rsid w:val="00D611C4"/>
    <w:rsid w:val="00D6381B"/>
    <w:rsid w:val="00D662BF"/>
    <w:rsid w:val="00D84A29"/>
    <w:rsid w:val="00DB20C3"/>
    <w:rsid w:val="00E03B93"/>
    <w:rsid w:val="00E075A0"/>
    <w:rsid w:val="00E30C57"/>
    <w:rsid w:val="00E7458F"/>
    <w:rsid w:val="00E962C5"/>
    <w:rsid w:val="00F60E97"/>
    <w:rsid w:val="00F82BB9"/>
    <w:rsid w:val="00FB6173"/>
    <w:rsid w:val="00FE1BE3"/>
    <w:rsid w:val="00FE3AC4"/>
    <w:rsid w:val="317E4F5D"/>
    <w:rsid w:val="467D2AB5"/>
    <w:rsid w:val="71B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383</Words>
  <Characters>3218</Characters>
  <Lines>26</Lines>
  <Paragraphs>7</Paragraphs>
  <TotalTime>2</TotalTime>
  <ScaleCrop>false</ScaleCrop>
  <LinksUpToDate>false</LinksUpToDate>
  <CharactersWithSpaces>3594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2022-03-11T11:03:00Z</dcterms:created>
  <dc:creator>Плетнёва Татьяна Васильевна</dc:creator>
  <cp:lastModifiedBy>YagodkaYV</cp:lastModifiedBy>
  <cp:lastPrinted>2020-01-15T10:42:00Z</cp:lastPrinted>
  <dcterms:modified xsi:type="dcterms:W3CDTF">2022-06-03T10:12:04Z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02050A785DE24220AE4E2F0A7E80E165</vt:lpwstr>
  </property>
</Properties>
</file>