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678"/>
        <w:jc w:val="center"/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678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</w:p>
    <w:p>
      <w:pPr>
        <w:pStyle w:val="678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678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</w:p>
    <w:p>
      <w:pPr>
        <w:pStyle w:val="678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8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</w: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</w:p>
    <w:p>
      <w:pPr>
        <w:pStyle w:val="678"/>
        <w:jc w:val="right"/>
      </w:pPr>
      <w:r/>
      <w:r/>
    </w:p>
    <w:p>
      <w:pPr>
        <w:pStyle w:val="678"/>
        <w:ind w:left="-360" w:right="-91" w:firstLine="360"/>
      </w:pPr>
      <w:r>
        <w:t xml:space="preserve">       </w:t>
      </w:r>
      <w:r>
        <w:t xml:space="preserve">    от                      2025</w:t>
      </w:r>
      <w: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                    №    </w:t>
      </w:r>
      <w:r/>
    </w:p>
    <w:p>
      <w:pPr>
        <w:pStyle w:val="678"/>
      </w:pPr>
      <w:r/>
      <w:r/>
    </w:p>
    <w:p>
      <w:pPr>
        <w:pStyle w:val="678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</w:p>
    <w:p>
      <w:pPr>
        <w:pStyle w:val="678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</w:p>
    <w:p>
      <w:pPr>
        <w:pStyle w:val="678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О внесении изменений в приложение к постановлению администрации </w:t>
      </w:r>
      <w:r>
        <w:rPr>
          <w:b/>
          <w:szCs w:val="20"/>
        </w:rPr>
      </w:r>
    </w:p>
    <w:p>
      <w:pPr>
        <w:pStyle w:val="678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Белоярского района от 5 декабря 2024 года № 846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678"/>
        <w:jc w:val="center"/>
        <w:keepNext/>
        <w:rPr>
          <w:b/>
          <w:bCs/>
          <w:szCs w:val="20"/>
        </w:rPr>
        <w:outlineLvl w:val="1"/>
      </w:pPr>
      <w:r>
        <w:rPr>
          <w:b/>
          <w:bCs/>
          <w:szCs w:val="20"/>
        </w:rPr>
      </w:r>
      <w:r>
        <w:rPr>
          <w:b/>
          <w:bCs/>
          <w:szCs w:val="20"/>
        </w:rPr>
      </w:r>
    </w:p>
    <w:p>
      <w:pPr>
        <w:pStyle w:val="678"/>
        <w:jc w:val="both"/>
        <w:keepNext/>
        <w:rPr>
          <w:szCs w:val="20"/>
        </w:rPr>
        <w:outlineLvl w:val="1"/>
      </w:pPr>
      <w:r>
        <w:rPr>
          <w:szCs w:val="20"/>
        </w:rPr>
        <w:tab/>
      </w:r>
      <w:r>
        <w:rPr>
          <w:szCs w:val="20"/>
        </w:rPr>
      </w:r>
    </w:p>
    <w:p>
      <w:pPr>
        <w:pStyle w:val="678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678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1. Внести в приложение «Муниципальная программа Белоярского района «Охрана окружающей среды» </w:t>
      </w:r>
      <w:r>
        <w:rPr>
          <w:szCs w:val="20"/>
        </w:rPr>
        <w:t xml:space="preserve">(далее – Программа) </w:t>
      </w:r>
      <w:r>
        <w:rPr>
          <w:szCs w:val="20"/>
        </w:rPr>
        <w:t xml:space="preserve">к постановлению админи</w:t>
      </w:r>
      <w:r>
        <w:rPr>
          <w:szCs w:val="20"/>
        </w:rPr>
        <w:t xml:space="preserve">страции Белоярского района от 5 декабря 2024 года № 846</w:t>
      </w:r>
      <w:r>
        <w:rPr>
          <w:szCs w:val="20"/>
        </w:rPr>
        <w:t xml:space="preserve"> «Об утверждении муниципальной программы Белоярского района </w:t>
      </w:r>
      <w:r>
        <w:rPr>
          <w:szCs w:val="20"/>
        </w:rPr>
        <w:t xml:space="preserve">«Охрана окружающей среды» </w:t>
      </w:r>
      <w:r>
        <w:rPr>
          <w:szCs w:val="20"/>
        </w:rPr>
        <w:t xml:space="preserve">следующие изменения:</w:t>
      </w:r>
      <w:r>
        <w:rPr>
          <w:szCs w:val="20"/>
        </w:rPr>
      </w:r>
    </w:p>
    <w:p>
      <w:pPr>
        <w:pStyle w:val="678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zh-CN" w:bidi="ar"/>
        </w:rPr>
        <w:t xml:space="preserve">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zh-CN" w:bidi="ar"/>
        </w:rPr>
        <w:t xml:space="preserve">  </w:t>
      </w:r>
      <w:r>
        <w:rPr>
          <w:rFonts w:eastAsia="SimSun"/>
          <w:lang w:eastAsia="en-US"/>
        </w:rPr>
        <w:t xml:space="preserve">раздела 1 «Основные положения» Паспорта муниципальной программы Белоярского района 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«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Охрана окружающей среды</w:t>
      </w:r>
      <w:r>
        <w:rPr>
          <w:rFonts w:eastAsia="SimSun"/>
          <w:color w:val="000000"/>
          <w:shd w:val="clear" w:color="auto" w:fill="ffffff"/>
          <w:lang w:eastAsia="zh-CN" w:bidi="ar"/>
        </w:rPr>
        <w:t xml:space="preserve">»</w:t>
      </w:r>
      <w:r>
        <w:rPr>
          <w:rFonts w:eastAsia="SimSun"/>
          <w:lang w:eastAsia="en-US"/>
        </w:rPr>
        <w:t xml:space="preserve"> (далее – Паспорт муниципальной программы) изложить в следующей редакции:</w:t>
      </w:r>
      <w:r>
        <w:rPr>
          <w:rFonts w:eastAsia="SimSun"/>
          <w:lang w:eastAsia="en-US"/>
        </w:rPr>
      </w:r>
    </w:p>
    <w:p>
      <w:pPr>
        <w:pStyle w:val="678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678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66 177,6</w:t>
            </w:r>
            <w:r/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</w:p>
        </w:tc>
      </w:tr>
    </w:tbl>
    <w:p>
      <w:pPr>
        <w:pStyle w:val="678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</w:p>
    <w:p>
      <w:pPr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highlight w:val="none"/>
        </w:rPr>
      </w:r>
      <w:r>
        <w:rPr>
          <w:rFonts w:eastAsia="SimSun"/>
          <w:lang w:eastAsia="en-US"/>
        </w:rPr>
        <w:t xml:space="preserve">раздел 2</w:t>
      </w:r>
      <w:r/>
      <w:r>
        <w:rPr>
          <w:rFonts w:eastAsia="SimSun"/>
          <w:lang w:eastAsia="en-US"/>
        </w:rPr>
        <w:t xml:space="preserve"> «</w:t>
      </w:r>
      <w:r>
        <w:rPr>
          <w:color w:val="000000"/>
          <w:sz w:val="24"/>
          <w:szCs w:val="24"/>
          <w:lang w:eastAsia="zh-CN" w:bidi="ar"/>
        </w:rPr>
        <w:t xml:space="preserve">Показатели муниципальной программы</w:t>
      </w:r>
      <w:r>
        <w:rPr>
          <w:color w:val="000000"/>
          <w:sz w:val="24"/>
          <w:szCs w:val="24"/>
          <w:lang w:eastAsia="zh-CN" w:bidi="ar"/>
        </w:rPr>
        <w:t xml:space="preserve">» </w:t>
      </w:r>
      <w:r>
        <w:rPr>
          <w:rFonts w:eastAsia="SimSun"/>
          <w:lang w:eastAsia="en-US"/>
        </w:rPr>
        <w:t xml:space="preserve">Паспорта муниципальной программы</w:t>
      </w:r>
      <w:r/>
      <w:r>
        <w:rPr>
          <w:color w:val="000000"/>
          <w:sz w:val="24"/>
          <w:szCs w:val="24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изложить </w:t>
      </w:r>
      <w:r>
        <w:rPr>
          <w:rFonts w:eastAsia="SimSun"/>
          <w:lang w:eastAsia="en-US"/>
        </w:rPr>
        <w:t xml:space="preserve">в редакции согласно приложению 1</w:t>
      </w:r>
      <w:r>
        <w:rPr>
          <w:rFonts w:eastAsia="SimSun"/>
          <w:lang w:eastAsia="en-US"/>
        </w:rPr>
        <w:t xml:space="preserve"> к настоящему постановлению</w:t>
      </w:r>
      <w:r/>
      <w:r>
        <w:rPr>
          <w:rFonts w:eastAsia="SimSun"/>
          <w:lang w:eastAsia="en-US"/>
        </w:rPr>
        <w:t xml:space="preserve">;</w:t>
      </w:r>
      <w:r>
        <w:rPr>
          <w:highlight w:val="none"/>
        </w:rPr>
      </w:r>
    </w:p>
    <w:p>
      <w:pPr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highlight w:val="none"/>
        </w:rPr>
      </w:r>
      <w:r>
        <w:rPr>
          <w:rFonts w:eastAsia="SimSun"/>
          <w:lang w:eastAsia="en-US"/>
        </w:rPr>
        <w:t xml:space="preserve">раздел  3</w:t>
      </w:r>
      <w:r>
        <w:rPr>
          <w:rFonts w:eastAsia="SimSun"/>
          <w:lang w:eastAsia="en-US"/>
        </w:rPr>
        <w:t xml:space="preserve"> «</w:t>
      </w:r>
      <w:r>
        <w:rPr>
          <w:color w:val="000000"/>
          <w:sz w:val="24"/>
          <w:szCs w:val="24"/>
          <w:lang w:eastAsia="zh-CN" w:bidi="ar"/>
        </w:rPr>
        <w:t xml:space="preserve">Структура муниципальной программы</w:t>
      </w:r>
      <w:r/>
      <w:r>
        <w:rPr>
          <w:color w:val="000000"/>
          <w:sz w:val="24"/>
          <w:szCs w:val="24"/>
          <w:lang w:eastAsia="zh-CN" w:bidi="ar"/>
        </w:rPr>
        <w:t xml:space="preserve">» </w:t>
      </w:r>
      <w:r>
        <w:rPr>
          <w:rFonts w:eastAsia="SimSun"/>
          <w:lang w:eastAsia="en-US"/>
        </w:rPr>
        <w:t xml:space="preserve">Паспорта муниципальной программы </w:t>
      </w:r>
      <w:r/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изложить </w:t>
      </w:r>
      <w:r>
        <w:rPr>
          <w:rFonts w:eastAsia="SimSun"/>
          <w:lang w:eastAsia="en-US"/>
        </w:rPr>
        <w:t xml:space="preserve">в редакции согласно приложению 2 </w:t>
      </w:r>
      <w:r>
        <w:rPr>
          <w:rFonts w:eastAsia="SimSun"/>
          <w:lang w:eastAsia="en-US"/>
        </w:rPr>
        <w:t xml:space="preserve"> к настоящему постановлению</w:t>
      </w:r>
      <w:r>
        <w:rPr>
          <w:rFonts w:eastAsia="SimSun"/>
          <w:lang w:eastAsia="en-US"/>
        </w:rPr>
        <w:t xml:space="preserve">;</w:t>
      </w:r>
      <w:r/>
      <w:r>
        <w:rPr>
          <w:color w:val="000000"/>
          <w:sz w:val="24"/>
          <w:szCs w:val="24"/>
          <w:lang w:eastAsia="zh-CN" w:bidi="ar"/>
        </w:rPr>
      </w:r>
      <w:r>
        <w:rPr>
          <w:highlight w:val="none"/>
        </w:rPr>
      </w:r>
    </w:p>
    <w:p>
      <w:pPr>
        <w:pStyle w:val="678"/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раздел 4 «Финансовое обеспечение муниципальной программы» </w:t>
      </w:r>
      <w:r>
        <w:rPr>
          <w:rFonts w:eastAsia="SimSun"/>
          <w:lang w:eastAsia="en-US"/>
        </w:rPr>
        <w:t xml:space="preserve">Паспорта муниципальной программы</w:t>
      </w:r>
      <w:r/>
      <w:r>
        <w:rPr>
          <w:rFonts w:eastAsia="SimSun"/>
          <w:lang w:eastAsia="en-US"/>
        </w:rPr>
        <w:t xml:space="preserve"> изложить </w:t>
      </w:r>
      <w:r>
        <w:rPr>
          <w:rFonts w:eastAsia="SimSun"/>
          <w:lang w:eastAsia="en-US"/>
        </w:rPr>
        <w:t xml:space="preserve">в редакции согласно приложению 3</w:t>
      </w:r>
      <w:r>
        <w:rPr>
          <w:rFonts w:eastAsia="SimSun"/>
          <w:lang w:eastAsia="en-US"/>
        </w:rPr>
        <w:t xml:space="preserve"> к настоящему постановлению</w:t>
      </w:r>
      <w:r>
        <w:rPr>
          <w:rFonts w:eastAsia="SimSun"/>
          <w:lang w:eastAsia="en-US"/>
        </w:rPr>
        <w:t xml:space="preserve">;</w:t>
      </w:r>
      <w:r/>
    </w:p>
    <w:p>
      <w:pPr>
        <w:numPr>
          <w:ilvl w:val="0"/>
          <w:numId w:val="1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rFonts w:eastAsia="SimSun"/>
          <w:lang w:eastAsia="en-US"/>
        </w:rPr>
      </w:r>
      <w:r>
        <w:rPr>
          <w:rFonts w:eastAsia="SimSun"/>
          <w:highlight w:val="none"/>
          <w:lang w:eastAsia="en-US"/>
        </w:rPr>
        <w:t xml:space="preserve">исключить из Программы раздел «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Перечень создаваемых (реконструируемых), приобретаемых объектов».</w:t>
      </w:r>
      <w:r/>
      <w:r/>
    </w:p>
    <w:p>
      <w:pPr>
        <w:ind w:firstLine="708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szCs w:val="20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b w:val="0"/>
          <w:bCs w:val="0"/>
          <w:sz w:val="24"/>
          <w:szCs w:val="24"/>
        </w:rPr>
      </w:r>
      <w:r/>
    </w:p>
    <w:p>
      <w:pPr>
        <w:pStyle w:val="678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3. Настоящее постановление вступает в силу после его официального опубликования.</w:t>
      </w:r>
      <w:r>
        <w:rPr>
          <w:szCs w:val="20"/>
        </w:rPr>
      </w:r>
    </w:p>
    <w:p>
      <w:pPr>
        <w:pStyle w:val="678"/>
        <w:ind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4. Контроль за выполнением постановления возложить на первого заместителя главы Белоярского района Ойнеца А.В., заместителя главы Белоярского района Ващука В.А.</w:t>
      </w:r>
      <w:r>
        <w:rPr>
          <w:szCs w:val="20"/>
        </w:rPr>
      </w:r>
    </w:p>
    <w:p>
      <w:pPr>
        <w:pStyle w:val="678"/>
        <w:ind w:firstLine="708"/>
        <w:jc w:val="both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</w:p>
    <w:p>
      <w:pPr>
        <w:pStyle w:val="678"/>
        <w:ind w:firstLine="708"/>
        <w:jc w:val="both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</w:p>
    <w:p>
      <w:pPr>
        <w:pStyle w:val="678"/>
        <w:jc w:val="both"/>
        <w:keepNext/>
        <w:rPr>
          <w:szCs w:val="20"/>
        </w:rPr>
        <w:outlineLvl w:val="1"/>
      </w:pPr>
      <w:r>
        <w:rPr>
          <w:szCs w:val="20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0"/>
        </w:rPr>
      </w:r>
    </w:p>
    <w:p>
      <w:pPr>
        <w:pStyle w:val="678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</w:p>
    <w:p>
      <w:pPr>
        <w:pStyle w:val="678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</w:p>
    <w:p>
      <w:pPr>
        <w:pStyle w:val="678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1440" w:right="1133" w:bottom="1135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</w:p>
    <w:p>
      <w:pPr>
        <w:pStyle w:val="678"/>
        <w:jc w:val="right"/>
        <w:tabs>
          <w:tab w:val="left" w:pos="1620" w:leader="none"/>
        </w:tabs>
      </w:pPr>
      <w:r>
        <w:tab/>
        <w:t xml:space="preserve">ПРИЛОЖЕНИЕ 1 </w:t>
      </w:r>
      <w:r/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                  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ИЗМЕНЕНИЯ,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2 муниципальной программы Белоярского района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«Охрана окружающей среды»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8"/>
        <w:jc w:val="center"/>
        <w:widowControl w:val="off"/>
        <w:rPr>
          <w:highlight w:val="none"/>
        </w:rPr>
      </w:pPr>
      <w:r>
        <w:t xml:space="preserve"> «2. </w:t>
      </w:r>
      <w:r>
        <w:rPr>
          <w:color w:val="000000"/>
          <w:sz w:val="24"/>
          <w:szCs w:val="24"/>
          <w:lang w:eastAsia="zh-CN" w:bidi="ar"/>
        </w:rPr>
        <w:t xml:space="preserve">Показатели муниципальной программы</w:t>
      </w:r>
      <w:r/>
      <w:r/>
      <w:r/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2070"/>
        <w:gridCol w:w="1200"/>
        <w:gridCol w:w="1155"/>
        <w:gridCol w:w="720"/>
        <w:gridCol w:w="660"/>
        <w:gridCol w:w="690"/>
        <w:gridCol w:w="675"/>
        <w:gridCol w:w="720"/>
        <w:gridCol w:w="735"/>
        <w:gridCol w:w="690"/>
        <w:gridCol w:w="2128"/>
        <w:gridCol w:w="1547"/>
        <w:gridCol w:w="1571"/>
      </w:tblGrid>
      <w:tr>
        <w:tblPrEx/>
        <w:trPr>
          <w:trHeight w:val="885"/>
          <w:tblHeader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763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_28749"/>
                <w:sz w:val="20"/>
                <w:szCs w:val="20"/>
                <w:lang w:val="en-US" w:eastAsia="zh-CN" w:bidi="ar"/>
              </w:rPr>
              <w:t xml:space="preserve">Единица измерения (по </w:t>
            </w:r>
            <w:r>
              <w:rPr>
                <w:rStyle w:val="1_28750"/>
                <w:sz w:val="20"/>
                <w:szCs w:val="20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t xml:space="preserve">Базовое значение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170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12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4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sz w:val="20"/>
                <w:szCs w:val="20"/>
                <w:lang w:val="en-US" w:eastAsia="zh-CN" w:bidi="ar"/>
              </w:rPr>
              <w:instrText xml:space="preserve"> HYPERLINK "" \l "_ftn3" </w:instrText>
            </w:r>
            <w:r>
              <w:rPr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692"/>
                <w:color w:val="000000"/>
                <w:sz w:val="20"/>
                <w:szCs w:val="20"/>
                <w:u w:val="none"/>
              </w:rPr>
              <w:t xml:space="preserve">Ответственный за достижение показателя</w:t>
            </w:r>
            <w:r>
              <w:rPr>
                <w:sz w:val="20"/>
                <w:szCs w:val="20"/>
                <w:lang w:val="en-US" w:eastAsia="zh-CN" w:bidi="ar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71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sz w:val="20"/>
                <w:szCs w:val="20"/>
                <w:lang w:eastAsia="zh-CN" w:bidi="ar"/>
              </w:rPr>
              <w:instrText xml:space="preserve"> </w:instrText>
            </w:r>
            <w:r>
              <w:rPr>
                <w:sz w:val="20"/>
                <w:szCs w:val="20"/>
                <w:lang w:val="en-US" w:eastAsia="zh-CN" w:bidi="ar"/>
              </w:rPr>
              <w:instrText xml:space="preserve">HYPERLINK</w:instrText>
            </w:r>
            <w:r>
              <w:rPr>
                <w:sz w:val="20"/>
                <w:szCs w:val="20"/>
                <w:lang w:eastAsia="zh-CN" w:bidi="ar"/>
              </w:rPr>
              <w:instrText xml:space="preserve"> "" \</w:instrText>
            </w:r>
            <w:r>
              <w:rPr>
                <w:sz w:val="20"/>
                <w:szCs w:val="20"/>
                <w:lang w:val="en-US" w:eastAsia="zh-CN" w:bidi="ar"/>
              </w:rPr>
              <w:instrText xml:space="preserve">l</w:instrText>
            </w:r>
            <w:r>
              <w:rPr>
                <w:sz w:val="20"/>
                <w:szCs w:val="20"/>
                <w:lang w:eastAsia="zh-CN" w:bidi="ar"/>
              </w:rPr>
              <w:instrText xml:space="preserve"> "_</w:instrText>
            </w:r>
            <w:r>
              <w:rPr>
                <w:sz w:val="20"/>
                <w:szCs w:val="20"/>
                <w:lang w:val="en-US" w:eastAsia="zh-CN" w:bidi="ar"/>
              </w:rPr>
              <w:instrText xml:space="preserve">ftn</w:instrText>
            </w:r>
            <w:r>
              <w:rPr>
                <w:sz w:val="20"/>
                <w:szCs w:val="20"/>
                <w:lang w:eastAsia="zh-CN" w:bidi="ar"/>
              </w:rPr>
              <w:instrText xml:space="preserve">4" </w:instrText>
            </w:r>
            <w:r>
              <w:rPr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692"/>
                <w:color w:val="000000"/>
                <w:sz w:val="20"/>
                <w:szCs w:val="20"/>
                <w:u w:val="none"/>
              </w:rPr>
              <w:t xml:space="preserve">Связь с показателями национальных целей</w:t>
            </w:r>
            <w:r>
              <w:rPr>
                <w:sz w:val="20"/>
                <w:szCs w:val="20"/>
                <w:lang w:val="en-US" w:eastAsia="zh-CN" w:bidi="ar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</w:tcBorders>
            <w:tcW w:w="763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7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12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54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</w:tcBorders>
            <w:tcW w:w="1571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8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W w:w="15324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Цель "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Сохранение природной среды, предотвращение негативного воздействия хозяйственной и иной деятельности на окружающую среду и ликвидацию ее последствий "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2765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рекультивированных объектов размещения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8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«Решение Думы Белоярского района от 29 октября 2014 года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УКС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971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обустроенных мест (площадок) накопления твердых коммунальных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35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90" w:type="dxa"/>
            <w:vAlign w:val="top"/>
            <w:textDirection w:val="lrTb"/>
            <w:noWrap w:val="false"/>
          </w:tcPr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vAlign w:val="top"/>
            <w:textDirection w:val="lrTb"/>
            <w:noWrap w:val="false"/>
          </w:tcPr>
          <w:p>
            <w:pPr>
              <w:pStyle w:val="6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24.06.1998 N 89-ФЗ "Об отходах производства и потребления"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жилищно-коммунального хозяйства (далее – УЖКХ)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65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населения, вовлеченного в эколого-просветительские и эколого-образовательные мероприятия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процент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32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2023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8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 ноября 2023 года № 566-п «О государственной программе Ханты-Мансийского автономного округа – Югры «Экологическая безопасность»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71" w:type="dxa"/>
            <w:vAlign w:val="center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right"/>
        <w:widowControl w:val="off"/>
      </w:pPr>
      <w:r>
        <w:rPr>
          <w:highlight w:val="none"/>
        </w:rPr>
        <w:t xml:space="preserve">»;</w:t>
      </w:r>
      <w:r>
        <w:rPr>
          <w:highlight w:val="none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78"/>
        <w:jc w:val="right"/>
        <w:tabs>
          <w:tab w:val="left" w:pos="1620" w:leader="none"/>
        </w:tabs>
      </w:pPr>
      <w:r>
        <w:t xml:space="preserve">ПРИЛОЖЕНИЕ 2 </w:t>
      </w:r>
      <w:r/>
      <w:r/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                  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ИЗМЕНЕНИЯ,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3 муниципальной программы Белоярского района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«Охрана окружающей среды»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8"/>
        <w:ind w:left="0" w:firstLine="0"/>
        <w:jc w:val="center"/>
        <w:tabs>
          <w:tab w:val="left" w:pos="763" w:leader="none"/>
          <w:tab w:val="left" w:pos="4078" w:leader="none"/>
          <w:tab w:val="left" w:pos="10489" w:leader="none"/>
        </w:tabs>
        <w:rPr>
          <w:color w:val="000000"/>
          <w:sz w:val="24"/>
          <w:szCs w:val="24"/>
          <w:lang w:val="en-US" w:eastAsia="zh-CN" w:bidi="ar"/>
        </w:rPr>
      </w:pPr>
      <w:r>
        <w:t xml:space="preserve">«3. </w:t>
      </w:r>
      <w:r>
        <w:rPr>
          <w:color w:val="000000"/>
          <w:sz w:val="24"/>
          <w:szCs w:val="24"/>
          <w:lang w:eastAsia="zh-CN" w:bidi="ar"/>
        </w:rPr>
        <w:t xml:space="preserve">Структура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835"/>
      </w:tblGrid>
      <w:tr>
        <w:tblPrEx/>
        <w:trPr>
          <w:trHeight w:val="720"/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b/>
                <w:color w:val="000000"/>
                <w:sz w:val="20"/>
                <w:szCs w:val="20"/>
                <w:lang w:val="en-US" w:eastAsia="zh-CN" w:bidi="ar"/>
              </w:rPr>
              <w:t xml:space="preserve">.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bottom"/>
            <w:textDirection w:val="lrTb"/>
            <w:noWrap/>
          </w:tcPr>
          <w:p>
            <w:pPr>
              <w:pStyle w:val="67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Региональный проек</w:t>
            </w:r>
            <w:r>
              <w:rPr>
                <w:b/>
                <w:color w:val="000000"/>
                <w:sz w:val="20"/>
                <w:szCs w:val="20"/>
              </w:rPr>
              <w:t xml:space="preserve">т «Генеральная уборка</w:t>
            </w:r>
            <w:r>
              <w:rPr>
                <w:b/>
                <w:color w:val="000000"/>
                <w:sz w:val="20"/>
                <w:szCs w:val="20"/>
              </w:rPr>
              <w:t xml:space="preserve">»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pStyle w:val="6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Ответственный за реализацию:  У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КС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pStyle w:val="6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9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Ликвидированы объекты размещения отходов, выведенные из эксплуатации</w:t>
              <w:tab/>
              <w:tab/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Рекультивация территории санкционированной свалки твердых бытовых отходов с.Казым Белоярского района в 2025 году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рекультивированных объектов размещения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81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b/>
                <w:color w:val="000000"/>
                <w:sz w:val="20"/>
                <w:szCs w:val="20"/>
                <w:lang w:val="en-US" w:eastAsia="zh-CN" w:bidi="ar"/>
              </w:rPr>
              <w:t xml:space="preserve">.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 w:val="false"/>
          </w:tcPr>
          <w:p>
            <w:pPr>
              <w:pStyle w:val="67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Комплекс процессных мероприятий «Ликвидация объектов накопленного экологического вреда окружающей среде»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pStyle w:val="6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Ответственный за реализацию:  У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КС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pStyle w:val="6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Ликвидированны</w:t>
            </w:r>
            <w:r>
              <w:rPr>
                <w:color w:val="000000"/>
                <w:sz w:val="20"/>
                <w:szCs w:val="20"/>
              </w:rPr>
              <w:t xml:space="preserve"> объекты накопленного экологического вреда окру</w:t>
            </w:r>
            <w:r>
              <w:rPr>
                <w:color w:val="000000"/>
                <w:sz w:val="20"/>
                <w:szCs w:val="20"/>
              </w:rPr>
              <w:t xml:space="preserve">жающей среде, рекультивированны</w:t>
            </w:r>
            <w:r>
              <w:rPr>
                <w:color w:val="000000"/>
                <w:sz w:val="20"/>
                <w:szCs w:val="20"/>
              </w:rPr>
              <w:t xml:space="preserve"> объекты размещения отходов</w:t>
              <w:tab/>
              <w:tab/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Рекультивация территории санкционированной свалки твердых бытовых отходов с.Полноват Белоярского района в 2026 году. Рекультивация полигона ТБО в г.Белоярский"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рекультивированных объектов размещения отходов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3.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57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Ответственный за реализацию: УЖКХ</w:t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Срок реализации: 2025-2030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3.1.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Предотвращение вредного воздействия отходов производства и потребления на окружающую среду</w:t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бустройство и содержание мест (площадок) накопления твердых коммунальных отходов, находящихся в муниципальной собственности Белоярского района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Количество обустроенных мест (площадок) накопления твердых коммунальных отходов</w:t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55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4.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688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Срок реализации: 2025-2030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7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4.1.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Сохранение природной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 среды, 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предотвращение и ликвидация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 негативного воздействия хозяйственной и (или) иной деятельности на ее компоненты</w:t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организация использования, охраны, защиты, воспроизводства лесов лесничества «Городские леса городского поселения Белоярский»; проведены мероприятия по очистке береговой полосы водных объектов в рамках проведения экологических субботников;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организация общественных обсуждений о намечаемой хозяйственной и иной деятельности на территории Белоярского района, которая подлежит экологической экспертизе</w:t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427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5.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695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Ответственные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 за реализацию: УПСХиРП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Комитет по культуре (далее – КК), Комитет по образованию (далее – КО)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 </w:t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Срок реализации: 2025-2030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5.1.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Экологическое образование, воспитание и формирование экологической культуры</w:t>
              <w:tab/>
              <w:tab/>
              <w:tab/>
            </w:r>
            <w:r/>
            <w:r/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проведены мероприятия, направленные на экологическое просвещение и формирование экологической культуры в Белоярском районе, в</w:t>
            </w:r>
            <w:r>
              <w:rPr>
                <w:color w:val="000000"/>
                <w:sz w:val="20"/>
                <w:szCs w:val="20"/>
                <w:lang w:eastAsia="zh-CN" w:bidi="ar"/>
              </w:rPr>
              <w:t xml:space="preserve"> том числе в области обращения с твердыми коммунальными отходами; проведены мероприятия, приуроченные к Международной экологической акции «Спасти и сохранить», в том числе в образовательных учреждениях и на базе учреждений культуры Белоярского района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Доля населения, вовлеченного в эколого-просветительские и эколого-образовательные мероприятия</w:t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48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6.</w:t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b/>
                <w:color w:val="000000"/>
                <w:sz w:val="20"/>
                <w:szCs w:val="20"/>
                <w:lang w:eastAsia="zh-CN" w:bidi="ar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  <w:r>
              <w:rPr>
                <w:b/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593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Ответственный за реализацию: УПСХиРП</w:t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Срок реализации: 2025-2030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1680"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6.1.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Осуществление отдельных государственных полномочий Ханты-Мансийского автономного округа - Югры в сфере обращения с твердыми коммунальными отходами</w:t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осуществление органами местного самоуправления Белоярского района отдельных государственных полномочий Ханты-Мансийского автономного округа - Югры в сфере обращения с твердыми коммунальными отходами</w:t>
              <w:tab/>
              <w:tab/>
              <w:tab/>
              <w:tab/>
              <w:tab/>
              <w:tab/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-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</w:tbl>
    <w:p>
      <w:pPr>
        <w:jc w:val="right"/>
        <w:widowControl w:val="off"/>
        <w:rPr>
          <w:highlight w:val="none"/>
        </w:rPr>
      </w:pPr>
      <w:r>
        <w:t xml:space="preserve">»;</w:t>
      </w:r>
      <w:r>
        <w:rPr>
          <w:highlight w:val="none"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78"/>
        <w:jc w:val="center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678"/>
        <w:jc w:val="right"/>
        <w:tabs>
          <w:tab w:val="left" w:pos="1620" w:leader="none"/>
        </w:tabs>
      </w:pPr>
      <w:r>
        <w:t xml:space="preserve">ПРИЛОЖЕНИЕ 3 </w:t>
      </w:r>
      <w:r/>
      <w:r/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                  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ИЗМЕНЕНИЯ,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4 муниципальной программы Белоярского района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4"/>
        <w:ind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«Охрана окружающей среды»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8"/>
        <w:jc w:val="center"/>
      </w:pPr>
      <w:r/>
      <w:r/>
    </w:p>
    <w:p>
      <w:pPr>
        <w:pStyle w:val="678"/>
        <w:jc w:val="center"/>
        <w:widowControl w:val="off"/>
      </w:pPr>
      <w:r>
        <w:t xml:space="preserve"> «4. Финансовое обеспечение муниципальной программы</w:t>
      </w:r>
      <w:r/>
    </w:p>
    <w:p>
      <w:pPr>
        <w:pStyle w:val="678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382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6140"/>
        <w:gridCol w:w="1018"/>
        <w:gridCol w:w="937"/>
        <w:gridCol w:w="937"/>
        <w:gridCol w:w="937"/>
        <w:gridCol w:w="937"/>
        <w:gridCol w:w="937"/>
        <w:gridCol w:w="1017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20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2028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2029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2030 год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«Охрана окружающей среды» (всего),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16 621,9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38 729,3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2 706,6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66 177,6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6 583,3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139,0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7 278,3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10 038,6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38 590,3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2 567,6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58 899,3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Региональный проект «Генеральная уборка» (всего),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«Рекультивация территории санкционированной свалки твердых бытовых отходов с.Казым Белоярского района»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9 210,6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6 447,3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2 763,3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«Ликвидация объектов накопленного экологического вреда окружающей среде» (всего),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36 022,7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40 109,7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36 022,7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40 109,7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«Рекультивация территории санкционированной свалки твердых бытовых отходов с.Полноват»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4 087,0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36 022,7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40 109,7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4 087,0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36 022,7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40 109,7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2.2.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«Рекультивация полигона ТБО в г.Белоярский»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2 179,5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11 552,5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2 179,5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11 552,5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«Обустройство и содержание мест (площадок) накопления твердых коммунальных отходов»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2 179,5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11 552,5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2 179,5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1 874,6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11 552,5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445,8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1 095,8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445,8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1 095,8</w:t>
            </w:r>
            <w:r/>
            <w:r/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445,8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1 095,8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445,8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130,0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1 095,8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«Экологические акции, в том числе по очистке береговой полосы водных объектов»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4.3.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3 378,0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3 378,0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 том числе в области обращения с твердыми коммунальными отходами, в Белоярском районе»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3 378,0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3 378,0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136,0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831,0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136,0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831,0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6.1.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136,0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831,0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6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136,0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6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831,0</w:t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678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14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8"/>
        <w:jc w:val="right"/>
      </w:pPr>
      <w:r/>
      <w:r/>
    </w:p>
    <w:p>
      <w:pPr>
        <w:pStyle w:val="678"/>
        <w:jc w:val="right"/>
      </w:pPr>
      <w:r/>
      <w:r/>
    </w:p>
    <w:p>
      <w:pPr>
        <w:pStyle w:val="678"/>
        <w:jc w:val="right"/>
      </w:pPr>
      <w:r/>
      <w:r/>
    </w:p>
    <w:p>
      <w:pPr>
        <w:pStyle w:val="678"/>
        <w:jc w:val="right"/>
      </w:pPr>
      <w:r/>
      <w:r/>
    </w:p>
    <w:p>
      <w:pPr>
        <w:pStyle w:val="678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</w:p>
    <w:p>
      <w:pPr>
        <w:pStyle w:val="678"/>
        <w:jc w:val="right"/>
      </w:pPr>
      <w:r/>
      <w:r/>
    </w:p>
    <w:p>
      <w:pPr>
        <w:pStyle w:val="678"/>
        <w:jc w:val="right"/>
      </w:pPr>
      <w:r/>
      <w:r/>
    </w:p>
    <w:p>
      <w:pPr>
        <w:pStyle w:val="678"/>
        <w:jc w:val="right"/>
      </w:pPr>
      <w:r/>
      <w:r/>
    </w:p>
    <w:p>
      <w:pPr>
        <w:pStyle w:val="678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701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rStyle w:val="693"/>
      </w:rPr>
      <w:framePr w:wrap="around" w:vAnchor="text" w:hAnchor="margin" w:xAlign="right" w:y="1"/>
    </w:pPr>
    <w:r>
      <w:rPr>
        <w:rStyle w:val="693"/>
      </w:rPr>
    </w:r>
    <w:r>
      <w:rPr>
        <w:rStyle w:val="693"/>
      </w:rPr>
    </w:r>
  </w:p>
  <w:p>
    <w:pPr>
      <w:pStyle w:val="708"/>
      <w:rPr>
        <w:rStyle w:val="693"/>
      </w:rPr>
      <w:framePr w:wrap="around" w:vAnchor="text" w:hAnchor="margin" w:xAlign="right" w:y="1"/>
    </w:pPr>
    <w:r>
      <w:rPr>
        <w:rStyle w:val="693"/>
      </w:rPr>
    </w:r>
    <w:r>
      <w:rPr>
        <w:rStyle w:val="693"/>
      </w:rPr>
    </w:r>
  </w:p>
  <w:p>
    <w:pPr>
      <w:pStyle w:val="708"/>
      <w:rPr>
        <w:rStyle w:val="693"/>
      </w:rPr>
      <w:framePr w:wrap="around" w:vAnchor="text" w:hAnchor="margin" w:xAlign="right" w:y="1"/>
    </w:pPr>
    <w:r>
      <w:rPr>
        <w:rStyle w:val="693"/>
      </w:rPr>
    </w:r>
    <w:r>
      <w:rPr>
        <w:rStyle w:val="693"/>
      </w:rPr>
    </w:r>
  </w:p>
  <w:p>
    <w:pPr>
      <w:pStyle w:val="70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rStyle w:val="693"/>
      </w:rPr>
      <w:framePr w:wrap="around" w:vAnchor="text" w:hAnchor="margin" w:xAlign="right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0</w:t>
    </w:r>
    <w:r>
      <w:rPr>
        <w:rStyle w:val="693"/>
      </w:rPr>
      <w:fldChar w:fldCharType="end"/>
    </w:r>
    <w:r>
      <w:rPr>
        <w:rStyle w:val="693"/>
      </w:rPr>
    </w:r>
    <w:r>
      <w:rPr>
        <w:rStyle w:val="693"/>
      </w:rPr>
    </w:r>
  </w:p>
  <w:p>
    <w:pPr>
      <w:pStyle w:val="70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0</w:t>
    </w:r>
    <w:r>
      <w:rPr>
        <w:rStyle w:val="693"/>
      </w:rPr>
      <w:fldChar w:fldCharType="end"/>
    </w:r>
    <w:r>
      <w:rPr>
        <w:rStyle w:val="693"/>
      </w:rPr>
    </w:r>
    <w:r>
      <w:rPr>
        <w:rStyle w:val="693"/>
      </w:rPr>
    </w:r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8"/>
    <w:next w:val="67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8"/>
    <w:next w:val="67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8"/>
    <w:next w:val="6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8"/>
    <w:next w:val="6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8"/>
    <w:next w:val="6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8"/>
    <w:next w:val="6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8"/>
    <w:next w:val="6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8"/>
    <w:next w:val="67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next w:val="678"/>
    <w:link w:val="678"/>
    <w:qFormat/>
    <w:rPr>
      <w:sz w:val="24"/>
      <w:szCs w:val="24"/>
      <w:lang w:val="ru-RU" w:eastAsia="ru-RU" w:bidi="ar-SA"/>
    </w:rPr>
  </w:style>
  <w:style w:type="paragraph" w:styleId="679">
    <w:name w:val="Заголовок 1"/>
    <w:basedOn w:val="678"/>
    <w:next w:val="678"/>
    <w:link w:val="686"/>
    <w:qFormat/>
    <w:pPr>
      <w:jc w:val="center"/>
      <w:keepNext/>
      <w:outlineLvl w:val="0"/>
    </w:pPr>
    <w:rPr>
      <w:b/>
      <w:sz w:val="28"/>
      <w:szCs w:val="20"/>
    </w:rPr>
  </w:style>
  <w:style w:type="paragraph" w:styleId="680">
    <w:name w:val="Заголовок 2"/>
    <w:basedOn w:val="678"/>
    <w:next w:val="678"/>
    <w:link w:val="687"/>
    <w:qFormat/>
    <w:pPr>
      <w:jc w:val="center"/>
      <w:keepNext/>
      <w:outlineLvl w:val="1"/>
    </w:pPr>
    <w:rPr>
      <w:b/>
      <w:szCs w:val="20"/>
    </w:rPr>
  </w:style>
  <w:style w:type="paragraph" w:styleId="681">
    <w:name w:val="Заголовок 3"/>
    <w:basedOn w:val="678"/>
    <w:next w:val="678"/>
    <w:link w:val="688"/>
    <w:qFormat/>
    <w:pPr>
      <w:jc w:val="center"/>
      <w:keepNext/>
      <w:outlineLvl w:val="2"/>
    </w:pPr>
    <w:rPr>
      <w:sz w:val="28"/>
      <w:szCs w:val="20"/>
    </w:rPr>
  </w:style>
  <w:style w:type="paragraph" w:styleId="682">
    <w:name w:val="Заголовок 4"/>
    <w:basedOn w:val="678"/>
    <w:next w:val="678"/>
    <w:link w:val="689"/>
    <w:qFormat/>
    <w:pPr>
      <w:jc w:val="center"/>
      <w:keepNext/>
      <w:outlineLvl w:val="3"/>
    </w:pPr>
    <w:rPr>
      <w:b/>
      <w:sz w:val="32"/>
      <w:szCs w:val="20"/>
    </w:rPr>
  </w:style>
  <w:style w:type="character" w:styleId="683">
    <w:name w:val="Основной шрифт абзаца"/>
    <w:next w:val="683"/>
    <w:link w:val="678"/>
    <w:semiHidden/>
  </w:style>
  <w:style w:type="table" w:styleId="684">
    <w:name w:val="Обычная таблица"/>
    <w:next w:val="684"/>
    <w:link w:val="678"/>
    <w:semiHidden/>
    <w:tblPr/>
  </w:style>
  <w:style w:type="numbering" w:styleId="685">
    <w:name w:val="Нет списка"/>
    <w:next w:val="685"/>
    <w:link w:val="678"/>
    <w:uiPriority w:val="99"/>
    <w:semiHidden/>
    <w:unhideWhenUsed/>
  </w:style>
  <w:style w:type="character" w:styleId="686">
    <w:name w:val="Заголовок 1 Знак"/>
    <w:next w:val="686"/>
    <w:link w:val="679"/>
    <w:rPr>
      <w:b/>
      <w:sz w:val="28"/>
    </w:rPr>
  </w:style>
  <w:style w:type="character" w:styleId="687">
    <w:name w:val="Заголовок 2 Знак"/>
    <w:next w:val="687"/>
    <w:link w:val="680"/>
    <w:rPr>
      <w:b/>
      <w:sz w:val="24"/>
    </w:rPr>
  </w:style>
  <w:style w:type="character" w:styleId="688">
    <w:name w:val="Заголовок 3 Знак"/>
    <w:next w:val="688"/>
    <w:link w:val="681"/>
    <w:rPr>
      <w:sz w:val="28"/>
    </w:rPr>
  </w:style>
  <w:style w:type="character" w:styleId="689">
    <w:name w:val="Заголовок 4 Знак"/>
    <w:next w:val="689"/>
    <w:link w:val="682"/>
    <w:rPr>
      <w:b/>
      <w:sz w:val="32"/>
    </w:rPr>
  </w:style>
  <w:style w:type="character" w:styleId="690">
    <w:name w:val="Просмотренная гиперссылка"/>
    <w:next w:val="690"/>
    <w:link w:val="678"/>
    <w:uiPriority w:val="99"/>
    <w:unhideWhenUsed/>
    <w:rPr>
      <w:color w:val="800080"/>
      <w:u w:val="single"/>
    </w:rPr>
  </w:style>
  <w:style w:type="character" w:styleId="691">
    <w:name w:val="Знак примечания"/>
    <w:next w:val="691"/>
    <w:link w:val="678"/>
    <w:rPr>
      <w:sz w:val="16"/>
      <w:szCs w:val="16"/>
    </w:rPr>
  </w:style>
  <w:style w:type="character" w:styleId="692">
    <w:name w:val="Гиперссылка"/>
    <w:next w:val="692"/>
    <w:link w:val="678"/>
    <w:uiPriority w:val="99"/>
    <w:rPr>
      <w:color w:val="0000ff"/>
      <w:u w:val="single"/>
    </w:rPr>
  </w:style>
  <w:style w:type="character" w:styleId="693">
    <w:name w:val="Номер страницы"/>
    <w:next w:val="693"/>
    <w:link w:val="678"/>
  </w:style>
  <w:style w:type="paragraph" w:styleId="694">
    <w:name w:val="Текст выноски"/>
    <w:basedOn w:val="678"/>
    <w:next w:val="694"/>
    <w:link w:val="695"/>
    <w:unhideWhenUsed/>
    <w:pPr>
      <w:jc w:val="center"/>
    </w:pPr>
    <w:rPr>
      <w:rFonts w:ascii="Tahoma" w:hAnsi="Tahoma"/>
      <w:sz w:val="16"/>
      <w:szCs w:val="16"/>
    </w:rPr>
  </w:style>
  <w:style w:type="character" w:styleId="695">
    <w:name w:val="Текст выноски Знак"/>
    <w:next w:val="695"/>
    <w:link w:val="694"/>
    <w:rPr>
      <w:rFonts w:ascii="Tahoma" w:hAnsi="Tahoma"/>
      <w:sz w:val="16"/>
      <w:szCs w:val="16"/>
    </w:rPr>
  </w:style>
  <w:style w:type="paragraph" w:styleId="696">
    <w:name w:val="Текст"/>
    <w:basedOn w:val="678"/>
    <w:next w:val="696"/>
    <w:link w:val="697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697">
    <w:name w:val="Текст Знак"/>
    <w:next w:val="697"/>
    <w:link w:val="696"/>
    <w:uiPriority w:val="99"/>
    <w:rPr>
      <w:rFonts w:ascii="Calibri" w:hAnsi="Calibri" w:eastAsia="Calibri"/>
      <w:sz w:val="22"/>
      <w:szCs w:val="21"/>
      <w:lang w:eastAsia="en-US"/>
    </w:rPr>
  </w:style>
  <w:style w:type="paragraph" w:styleId="698">
    <w:name w:val="Основной текст с отступом 3"/>
    <w:basedOn w:val="678"/>
    <w:next w:val="698"/>
    <w:link w:val="699"/>
    <w:pPr>
      <w:jc w:val="center"/>
    </w:pPr>
    <w:rPr>
      <w:szCs w:val="20"/>
    </w:rPr>
  </w:style>
  <w:style w:type="character" w:styleId="699">
    <w:name w:val="Основной текст с отступом 3 Знак"/>
    <w:next w:val="699"/>
    <w:link w:val="698"/>
    <w:rPr>
      <w:sz w:val="24"/>
    </w:rPr>
  </w:style>
  <w:style w:type="paragraph" w:styleId="700">
    <w:name w:val="Текст примечания"/>
    <w:basedOn w:val="678"/>
    <w:next w:val="700"/>
    <w:link w:val="701"/>
    <w:rPr>
      <w:sz w:val="20"/>
      <w:szCs w:val="20"/>
    </w:rPr>
  </w:style>
  <w:style w:type="character" w:styleId="701">
    <w:name w:val="Текст примечания Знак"/>
    <w:next w:val="701"/>
    <w:link w:val="700"/>
  </w:style>
  <w:style w:type="paragraph" w:styleId="702">
    <w:name w:val="Тема примечания"/>
    <w:basedOn w:val="700"/>
    <w:next w:val="700"/>
    <w:link w:val="703"/>
    <w:rPr>
      <w:b/>
      <w:bCs/>
    </w:rPr>
  </w:style>
  <w:style w:type="character" w:styleId="703">
    <w:name w:val="Тема примечания Знак"/>
    <w:next w:val="703"/>
    <w:link w:val="702"/>
    <w:rPr>
      <w:b/>
      <w:bCs/>
    </w:rPr>
  </w:style>
  <w:style w:type="paragraph" w:styleId="704">
    <w:name w:val="Верхний колонтитул"/>
    <w:basedOn w:val="678"/>
    <w:next w:val="704"/>
    <w:link w:val="705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705">
    <w:name w:val="Верхний колонтитул Знак"/>
    <w:next w:val="705"/>
    <w:link w:val="704"/>
    <w:uiPriority w:val="99"/>
    <w:rPr>
      <w:sz w:val="24"/>
    </w:rPr>
  </w:style>
  <w:style w:type="paragraph" w:styleId="706">
    <w:name w:val="Основной текст"/>
    <w:basedOn w:val="678"/>
    <w:next w:val="706"/>
    <w:link w:val="707"/>
    <w:pPr>
      <w:spacing w:after="120"/>
    </w:pPr>
  </w:style>
  <w:style w:type="character" w:styleId="707">
    <w:name w:val="Основной текст Знак"/>
    <w:next w:val="707"/>
    <w:link w:val="706"/>
    <w:rPr>
      <w:sz w:val="24"/>
      <w:szCs w:val="24"/>
    </w:rPr>
  </w:style>
  <w:style w:type="paragraph" w:styleId="708">
    <w:name w:val="Нижний колонтитул"/>
    <w:basedOn w:val="678"/>
    <w:next w:val="708"/>
    <w:link w:val="709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709">
    <w:name w:val="Нижний колонтитул Знак"/>
    <w:next w:val="709"/>
    <w:link w:val="708"/>
    <w:uiPriority w:val="99"/>
    <w:rPr>
      <w:sz w:val="24"/>
    </w:rPr>
  </w:style>
  <w:style w:type="paragraph" w:styleId="710">
    <w:name w:val="Обычный (веб)"/>
    <w:basedOn w:val="678"/>
    <w:next w:val="710"/>
    <w:link w:val="678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711">
    <w:name w:val="Сетка таблицы"/>
    <w:basedOn w:val="684"/>
    <w:next w:val="711"/>
    <w:link w:val="678"/>
    <w:uiPriority w:val="59"/>
    <w:tblPr/>
  </w:style>
  <w:style w:type="paragraph" w:styleId="712">
    <w:name w:val=" Знак Знак Знак Знак"/>
    <w:basedOn w:val="678"/>
    <w:next w:val="712"/>
    <w:link w:val="6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13">
    <w:name w:val=" Знак"/>
    <w:basedOn w:val="678"/>
    <w:next w:val="713"/>
    <w:link w:val="6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14">
    <w:name w:val="ConsPlusNormal"/>
    <w:next w:val="714"/>
    <w:link w:val="715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15">
    <w:name w:val="ConsPlusNormal Знак"/>
    <w:next w:val="715"/>
    <w:link w:val="714"/>
    <w:rPr>
      <w:rFonts w:ascii="Arial" w:hAnsi="Arial" w:cs="Arial"/>
      <w:lang w:val="ru-RU" w:eastAsia="ru-RU" w:bidi="ar-SA"/>
    </w:rPr>
  </w:style>
  <w:style w:type="paragraph" w:styleId="716">
    <w:name w:val="Абзац списка"/>
    <w:basedOn w:val="678"/>
    <w:next w:val="716"/>
    <w:link w:val="678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717">
    <w:name w:val="List Paragraph"/>
    <w:basedOn w:val="678"/>
    <w:next w:val="717"/>
    <w:link w:val="678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718">
    <w:name w:val="ConsPlusTitle"/>
    <w:next w:val="718"/>
    <w:link w:val="678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719">
    <w:name w:val="ConsPlusCell"/>
    <w:next w:val="719"/>
    <w:link w:val="678"/>
    <w:pPr>
      <w:widowControl w:val="off"/>
    </w:pPr>
    <w:rPr>
      <w:rFonts w:ascii="Arial" w:hAnsi="Arial" w:cs="Arial"/>
      <w:lang w:val="ru-RU" w:eastAsia="ru-RU" w:bidi="ar-SA"/>
    </w:rPr>
  </w:style>
  <w:style w:type="paragraph" w:styleId="720">
    <w:name w:val="Без интервала"/>
    <w:next w:val="720"/>
    <w:link w:val="67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721">
    <w:name w:val=" Знак Знак Знак Знак1 Знак Знак"/>
    <w:basedOn w:val="678"/>
    <w:next w:val="721"/>
    <w:link w:val="6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22">
    <w:name w:val="Знак Знак Знак Знак"/>
    <w:basedOn w:val="678"/>
    <w:next w:val="722"/>
    <w:link w:val="6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23">
    <w:name w:val="Знак2"/>
    <w:basedOn w:val="678"/>
    <w:next w:val="723"/>
    <w:link w:val="6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24">
    <w:name w:val=" Знак Знак Знак Знак1 Знак Знак1 Знак Знак Знак Знак Знак Знак Знак Знак Знак Знак Знак Знак Знак Знак"/>
    <w:basedOn w:val="678"/>
    <w:next w:val="724"/>
    <w:link w:val="6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725">
    <w:name w:val="TableGrid1"/>
    <w:next w:val="725"/>
    <w:link w:val="678"/>
    <w:rPr>
      <w:rFonts w:ascii="Calibri" w:hAnsi="Calibri"/>
      <w:sz w:val="22"/>
      <w:szCs w:val="22"/>
      <w:lang w:val="ru-RU" w:eastAsia="ru-RU" w:bidi="ar-SA"/>
    </w:rPr>
    <w:tblPr/>
  </w:style>
  <w:style w:type="paragraph" w:styleId="726">
    <w:name w:val="Верхний колонтитул1"/>
    <w:basedOn w:val="678"/>
    <w:next w:val="704"/>
    <w:link w:val="67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727">
    <w:name w:val="Нижний колонтитул1"/>
    <w:basedOn w:val="678"/>
    <w:next w:val="708"/>
    <w:link w:val="67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728">
    <w:name w:val="Верхний колонтитул Знак1"/>
    <w:next w:val="728"/>
    <w:link w:val="678"/>
    <w:uiPriority w:val="99"/>
    <w:rPr>
      <w:rFonts w:ascii="Calibri" w:hAnsi="Calibri" w:eastAsia="Calibri" w:cs="Calibri"/>
      <w:color w:val="000000"/>
    </w:rPr>
  </w:style>
  <w:style w:type="character" w:styleId="729">
    <w:name w:val="Нижний колонтитул Знак1"/>
    <w:next w:val="729"/>
    <w:link w:val="678"/>
    <w:uiPriority w:val="99"/>
    <w:rPr>
      <w:rFonts w:ascii="Calibri" w:hAnsi="Calibri" w:eastAsia="Calibri" w:cs="Calibri"/>
      <w:color w:val="000000"/>
    </w:rPr>
  </w:style>
  <w:style w:type="paragraph" w:styleId="730">
    <w:name w:val="font5"/>
    <w:basedOn w:val="678"/>
    <w:next w:val="730"/>
    <w:link w:val="678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731">
    <w:name w:val="font6"/>
    <w:basedOn w:val="678"/>
    <w:next w:val="731"/>
    <w:link w:val="678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732">
    <w:name w:val="font7"/>
    <w:basedOn w:val="678"/>
    <w:next w:val="732"/>
    <w:link w:val="678"/>
    <w:pPr>
      <w:spacing w:before="100" w:beforeAutospacing="1" w:after="100" w:afterAutospacing="1"/>
    </w:pPr>
    <w:rPr>
      <w:sz w:val="21"/>
      <w:szCs w:val="21"/>
    </w:rPr>
  </w:style>
  <w:style w:type="paragraph" w:styleId="733">
    <w:name w:val="xl65"/>
    <w:basedOn w:val="678"/>
    <w:next w:val="733"/>
    <w:link w:val="678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734">
    <w:name w:val="xl66"/>
    <w:basedOn w:val="678"/>
    <w:next w:val="734"/>
    <w:link w:val="678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735">
    <w:name w:val="xl67"/>
    <w:basedOn w:val="678"/>
    <w:next w:val="735"/>
    <w:link w:val="678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736">
    <w:name w:val="xl68"/>
    <w:basedOn w:val="678"/>
    <w:next w:val="736"/>
    <w:link w:val="678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737">
    <w:name w:val="xl69"/>
    <w:basedOn w:val="678"/>
    <w:next w:val="737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38">
    <w:name w:val="xl70"/>
    <w:basedOn w:val="678"/>
    <w:next w:val="738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39">
    <w:name w:val="xl71"/>
    <w:basedOn w:val="678"/>
    <w:next w:val="739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40">
    <w:name w:val="xl72"/>
    <w:basedOn w:val="678"/>
    <w:next w:val="740"/>
    <w:link w:val="67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41">
    <w:name w:val="xl73"/>
    <w:basedOn w:val="678"/>
    <w:next w:val="741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42">
    <w:name w:val="xl74"/>
    <w:basedOn w:val="678"/>
    <w:next w:val="742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43">
    <w:name w:val="xl75"/>
    <w:basedOn w:val="678"/>
    <w:next w:val="743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44">
    <w:name w:val="xl76"/>
    <w:basedOn w:val="678"/>
    <w:next w:val="744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45">
    <w:name w:val="xl77"/>
    <w:basedOn w:val="678"/>
    <w:next w:val="745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46">
    <w:name w:val="xl78"/>
    <w:basedOn w:val="678"/>
    <w:next w:val="746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47">
    <w:name w:val="xl79"/>
    <w:basedOn w:val="678"/>
    <w:next w:val="747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48">
    <w:name w:val="xl80"/>
    <w:basedOn w:val="678"/>
    <w:next w:val="748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49">
    <w:name w:val="xl81"/>
    <w:basedOn w:val="678"/>
    <w:next w:val="749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50">
    <w:name w:val="xl82"/>
    <w:basedOn w:val="678"/>
    <w:next w:val="750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51">
    <w:name w:val="xl83"/>
    <w:basedOn w:val="678"/>
    <w:next w:val="751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52">
    <w:name w:val="xl84"/>
    <w:basedOn w:val="678"/>
    <w:next w:val="752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53">
    <w:name w:val="xl85"/>
    <w:basedOn w:val="678"/>
    <w:next w:val="753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54">
    <w:name w:val="xl86"/>
    <w:basedOn w:val="678"/>
    <w:next w:val="754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55">
    <w:name w:val="xl87"/>
    <w:basedOn w:val="678"/>
    <w:next w:val="755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56">
    <w:name w:val="xl88"/>
    <w:basedOn w:val="678"/>
    <w:next w:val="756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57">
    <w:name w:val="xl89"/>
    <w:basedOn w:val="678"/>
    <w:next w:val="757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58">
    <w:name w:val="xl90"/>
    <w:basedOn w:val="678"/>
    <w:next w:val="758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59">
    <w:name w:val="xl91"/>
    <w:basedOn w:val="678"/>
    <w:next w:val="759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60">
    <w:name w:val="xl92"/>
    <w:basedOn w:val="678"/>
    <w:next w:val="760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61">
    <w:name w:val="xl93"/>
    <w:basedOn w:val="678"/>
    <w:next w:val="761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62">
    <w:name w:val="xl94"/>
    <w:basedOn w:val="678"/>
    <w:next w:val="762"/>
    <w:link w:val="67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63">
    <w:name w:val="xl95"/>
    <w:basedOn w:val="678"/>
    <w:next w:val="763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64">
    <w:name w:val="xl96"/>
    <w:basedOn w:val="678"/>
    <w:next w:val="764"/>
    <w:link w:val="678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765">
    <w:name w:val="xl97"/>
    <w:basedOn w:val="678"/>
    <w:next w:val="765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766">
    <w:name w:val="xl98"/>
    <w:basedOn w:val="678"/>
    <w:next w:val="766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67">
    <w:name w:val="xl99"/>
    <w:basedOn w:val="678"/>
    <w:next w:val="767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68">
    <w:name w:val="xl100"/>
    <w:basedOn w:val="678"/>
    <w:next w:val="768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69">
    <w:name w:val="xl101"/>
    <w:basedOn w:val="678"/>
    <w:next w:val="769"/>
    <w:link w:val="67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70">
    <w:name w:val="xl102"/>
    <w:basedOn w:val="678"/>
    <w:next w:val="770"/>
    <w:link w:val="67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71">
    <w:name w:val="xl103"/>
    <w:basedOn w:val="678"/>
    <w:next w:val="771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72">
    <w:name w:val="xl104"/>
    <w:basedOn w:val="678"/>
    <w:next w:val="772"/>
    <w:link w:val="6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773">
    <w:name w:val="xl105"/>
    <w:basedOn w:val="678"/>
    <w:next w:val="773"/>
    <w:link w:val="678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774">
    <w:name w:val="xl106"/>
    <w:basedOn w:val="678"/>
    <w:next w:val="774"/>
    <w:link w:val="67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75">
    <w:name w:val="xl107"/>
    <w:basedOn w:val="678"/>
    <w:next w:val="775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776">
    <w:name w:val="xl108"/>
    <w:basedOn w:val="678"/>
    <w:next w:val="776"/>
    <w:link w:val="6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777">
    <w:name w:val="xl109"/>
    <w:basedOn w:val="678"/>
    <w:next w:val="777"/>
    <w:link w:val="6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78">
    <w:name w:val="xl110"/>
    <w:basedOn w:val="678"/>
    <w:next w:val="778"/>
    <w:link w:val="67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79">
    <w:name w:val="xl111"/>
    <w:basedOn w:val="678"/>
    <w:next w:val="779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80">
    <w:name w:val="xl112"/>
    <w:basedOn w:val="678"/>
    <w:next w:val="780"/>
    <w:link w:val="67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81">
    <w:name w:val="xl113"/>
    <w:basedOn w:val="678"/>
    <w:next w:val="781"/>
    <w:link w:val="67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82">
    <w:name w:val="xl114"/>
    <w:basedOn w:val="678"/>
    <w:next w:val="782"/>
    <w:link w:val="67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83">
    <w:name w:val="xl115"/>
    <w:basedOn w:val="678"/>
    <w:next w:val="783"/>
    <w:link w:val="67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84">
    <w:name w:val="xl116"/>
    <w:basedOn w:val="678"/>
    <w:next w:val="784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85">
    <w:name w:val="xl117"/>
    <w:basedOn w:val="678"/>
    <w:next w:val="785"/>
    <w:link w:val="67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86">
    <w:name w:val="xl118"/>
    <w:basedOn w:val="678"/>
    <w:next w:val="786"/>
    <w:link w:val="67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87">
    <w:name w:val="xl119"/>
    <w:basedOn w:val="678"/>
    <w:next w:val="787"/>
    <w:link w:val="67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88">
    <w:name w:val="xl120"/>
    <w:basedOn w:val="678"/>
    <w:next w:val="788"/>
    <w:link w:val="67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89">
    <w:name w:val="xl121"/>
    <w:basedOn w:val="678"/>
    <w:next w:val="789"/>
    <w:link w:val="67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790">
    <w:name w:val="xl122"/>
    <w:basedOn w:val="678"/>
    <w:next w:val="790"/>
    <w:link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91">
    <w:name w:val="xl123"/>
    <w:basedOn w:val="678"/>
    <w:next w:val="791"/>
    <w:link w:val="67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92">
    <w:name w:val="xl124"/>
    <w:basedOn w:val="678"/>
    <w:next w:val="792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93">
    <w:name w:val="xl125"/>
    <w:basedOn w:val="678"/>
    <w:next w:val="793"/>
    <w:link w:val="67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94">
    <w:name w:val="xl126"/>
    <w:basedOn w:val="678"/>
    <w:next w:val="794"/>
    <w:link w:val="67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795">
    <w:name w:val="xl127"/>
    <w:basedOn w:val="678"/>
    <w:next w:val="795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96">
    <w:name w:val="xl128"/>
    <w:basedOn w:val="678"/>
    <w:next w:val="796"/>
    <w:link w:val="67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97">
    <w:name w:val="xl129"/>
    <w:basedOn w:val="678"/>
    <w:next w:val="797"/>
    <w:link w:val="67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98">
    <w:name w:val="xl130"/>
    <w:basedOn w:val="678"/>
    <w:next w:val="798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799">
    <w:name w:val="xl131"/>
    <w:basedOn w:val="678"/>
    <w:next w:val="799"/>
    <w:link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800">
    <w:name w:val="xl132"/>
    <w:basedOn w:val="678"/>
    <w:next w:val="800"/>
    <w:link w:val="67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801">
    <w:name w:val="xl63"/>
    <w:basedOn w:val="678"/>
    <w:next w:val="801"/>
    <w:link w:val="678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02">
    <w:name w:val="xl64"/>
    <w:basedOn w:val="678"/>
    <w:next w:val="802"/>
    <w:link w:val="678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803">
    <w:name w:val="TableGrid11"/>
    <w:next w:val="803"/>
    <w:link w:val="678"/>
    <w:rPr>
      <w:rFonts w:ascii="Calibri" w:hAnsi="Calibri"/>
      <w:sz w:val="22"/>
      <w:szCs w:val="22"/>
      <w:lang w:val="ru-RU" w:eastAsia="ru-RU" w:bidi="ar-SA"/>
    </w:rPr>
    <w:tblPr/>
  </w:style>
  <w:style w:type="table" w:styleId="804">
    <w:name w:val="Сетка таблицы1"/>
    <w:basedOn w:val="684"/>
    <w:next w:val="804"/>
    <w:link w:val="678"/>
    <w:uiPriority w:val="39"/>
    <w:rPr>
      <w:rFonts w:ascii="Calibri" w:hAnsi="Calibri"/>
    </w:rPr>
    <w:tblPr/>
  </w:style>
  <w:style w:type="table" w:styleId="805">
    <w:name w:val="TableGrid21"/>
    <w:next w:val="805"/>
    <w:link w:val="678"/>
    <w:rPr>
      <w:rFonts w:ascii="Calibri" w:hAnsi="Calibri"/>
      <w:sz w:val="22"/>
      <w:szCs w:val="22"/>
      <w:lang w:val="ru-RU" w:eastAsia="ru-RU" w:bidi="ar-SA"/>
    </w:rPr>
    <w:tblPr/>
  </w:style>
  <w:style w:type="table" w:styleId="806">
    <w:name w:val="Сетка таблицы2"/>
    <w:basedOn w:val="684"/>
    <w:next w:val="806"/>
    <w:link w:val="678"/>
    <w:uiPriority w:val="39"/>
    <w:rPr>
      <w:rFonts w:ascii="Calibri" w:hAnsi="Calibri"/>
    </w:rPr>
    <w:tblPr/>
  </w:style>
  <w:style w:type="table" w:styleId="807">
    <w:name w:val="TableGrid31"/>
    <w:next w:val="807"/>
    <w:link w:val="678"/>
    <w:rPr>
      <w:rFonts w:ascii="Calibri" w:hAnsi="Calibri"/>
      <w:sz w:val="22"/>
      <w:szCs w:val="22"/>
      <w:lang w:val="ru-RU" w:eastAsia="ru-RU" w:bidi="ar-SA"/>
    </w:rPr>
    <w:tblPr/>
  </w:style>
  <w:style w:type="table" w:styleId="808">
    <w:name w:val="Сетка таблицы3"/>
    <w:basedOn w:val="684"/>
    <w:next w:val="808"/>
    <w:link w:val="678"/>
    <w:uiPriority w:val="39"/>
    <w:rPr>
      <w:rFonts w:ascii="Calibri" w:hAnsi="Calibri"/>
    </w:rPr>
    <w:tblPr/>
  </w:style>
  <w:style w:type="table" w:styleId="809">
    <w:name w:val="TableGrid41"/>
    <w:next w:val="809"/>
    <w:link w:val="678"/>
    <w:rPr>
      <w:rFonts w:ascii="Calibri" w:hAnsi="Calibri"/>
      <w:sz w:val="22"/>
      <w:szCs w:val="22"/>
      <w:lang w:val="ru-RU" w:eastAsia="ru-RU" w:bidi="ar-SA"/>
    </w:rPr>
    <w:tblPr/>
  </w:style>
  <w:style w:type="paragraph" w:styleId="810">
    <w:name w:val="ConsPlusNonformat"/>
    <w:next w:val="810"/>
    <w:link w:val="678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5151" w:default="1">
    <w:name w:val="Default Paragraph Font"/>
    <w:uiPriority w:val="1"/>
    <w:semiHidden/>
    <w:unhideWhenUsed/>
  </w:style>
  <w:style w:type="numbering" w:styleId="5152" w:default="1">
    <w:name w:val="No List"/>
    <w:uiPriority w:val="99"/>
    <w:semiHidden/>
    <w:unhideWhenUsed/>
  </w:style>
  <w:style w:type="table" w:styleId="5153" w:default="1">
    <w:name w:val="Normal Table"/>
    <w:uiPriority w:val="99"/>
    <w:semiHidden/>
    <w:unhideWhenUsed/>
    <w:tblPr/>
  </w:style>
  <w:style w:type="character" w:styleId="1_28749" w:customStyle="1">
    <w:name w:val="font41"/>
    <w:next w:val="865"/>
    <w:link w:val="834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_28750" w:customStyle="1">
    <w:name w:val="font01"/>
    <w:next w:val="866"/>
    <w:link w:val="834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LihachevaLS</cp:lastModifiedBy>
  <cp:revision>7</cp:revision>
  <dcterms:created xsi:type="dcterms:W3CDTF">2024-06-14T07:38:00Z</dcterms:created>
  <dcterms:modified xsi:type="dcterms:W3CDTF">2025-11-12T05:09:53Z</dcterms:modified>
  <cp:version>983040</cp:version>
</cp:coreProperties>
</file>