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6B" w:rsidRDefault="005A696B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5A696B" w:rsidRDefault="005A696B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5A696B">
        <w:tc>
          <w:tcPr>
            <w:tcW w:w="4820" w:type="dxa"/>
          </w:tcPr>
          <w:p w:rsidR="005A696B" w:rsidRDefault="008C49F9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2025 года</w:t>
            </w:r>
          </w:p>
        </w:tc>
        <w:tc>
          <w:tcPr>
            <w:tcW w:w="5953" w:type="dxa"/>
          </w:tcPr>
          <w:p w:rsidR="005A696B" w:rsidRDefault="008C49F9">
            <w:pPr>
              <w:pStyle w:val="10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5A696B" w:rsidRDefault="005A696B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8C49F9">
      <w:pPr>
        <w:pStyle w:val="ConsPlusTitle"/>
        <w:jc w:val="center"/>
      </w:pPr>
      <w:r>
        <w:t>О внесении изменений в приложение к решению Думы Белоярского района от                 4 октября</w:t>
      </w:r>
      <w:r>
        <w:t xml:space="preserve"> 2021 года № 50</w:t>
      </w: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696B" w:rsidRDefault="008C49F9">
      <w:pPr>
        <w:spacing w:after="0" w:line="240" w:lineRule="auto"/>
        <w:ind w:firstLineChars="370" w:firstLine="88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 Федеральным законом от 31 июля 2020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248-ФЗ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5A696B" w:rsidRDefault="008C49F9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«Положен</w:t>
      </w:r>
      <w:r>
        <w:rPr>
          <w:sz w:val="24"/>
          <w:szCs w:val="24"/>
        </w:rPr>
        <w:t>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</w:t>
      </w:r>
      <w:r>
        <w:rPr>
          <w:sz w:val="24"/>
          <w:szCs w:val="24"/>
        </w:rPr>
        <w:t>кого поселения Белоярский» следующие изменения: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разделе «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Общие положения»: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пункте 3 после слова «Ин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спектор» дополнить словами «;должностное лицо контрольного органа; должностное лицо, уполномоченное осуществлять  контроль.»;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дополнить пунк</w:t>
      </w:r>
      <w:r>
        <w:rPr>
          <w:rFonts w:ascii="Times New Roman" w:hAnsi="Times New Roman"/>
          <w:sz w:val="24"/>
          <w:szCs w:val="24"/>
        </w:rPr>
        <w:t>том 4.1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Контрольный орган осуществляет учет объектов контроля в соответствии с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от 31 июля 2020 года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248-ФЗ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- </w:t>
      </w:r>
      <w:r>
        <w:rPr>
          <w:rFonts w:ascii="Times New Roman" w:hAnsi="Times New Roman"/>
          <w:sz w:val="24"/>
          <w:szCs w:val="24"/>
        </w:rPr>
        <w:t xml:space="preserve">Федеральный </w:t>
      </w:r>
      <w:r>
        <w:rPr>
          <w:rFonts w:ascii="Times New Roman" w:hAnsi="Times New Roman"/>
          <w:sz w:val="24"/>
          <w:szCs w:val="24"/>
        </w:rPr>
        <w:t xml:space="preserve">Закон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248-ФЗ</w:t>
      </w:r>
      <w:r>
        <w:rPr>
          <w:rFonts w:ascii="Times New Roman" w:hAnsi="Times New Roman"/>
          <w:sz w:val="24"/>
          <w:szCs w:val="24"/>
        </w:rPr>
        <w:t>, действующим законодательством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настоящим Положением, посредством формирования перечня объектов контроля в электронной форме и размещения его на официальном сайте органов местного самоуправления Белоярского района в информацион</w:t>
      </w:r>
      <w:r>
        <w:rPr>
          <w:rFonts w:ascii="Times New Roman" w:hAnsi="Times New Roman"/>
          <w:sz w:val="24"/>
          <w:szCs w:val="24"/>
        </w:rPr>
        <w:t>но-телекоммуникационной сети «Интернет», а также иных федеральных или региональных информационных системах.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ему в</w:t>
      </w:r>
      <w:r>
        <w:rPr>
          <w:rFonts w:ascii="Times New Roman" w:hAnsi="Times New Roman"/>
          <w:sz w:val="24"/>
          <w:szCs w:val="24"/>
        </w:rPr>
        <w:t xml:space="preserve"> соответствии с нормативными правовыми актами, информацию, получаемую в рамках межведомственного взаимодействия, а также общедоступную информацию.»</w:t>
      </w:r>
      <w:r>
        <w:rPr>
          <w:rFonts w:ascii="Times New Roman" w:hAnsi="Times New Roman"/>
          <w:sz w:val="24"/>
          <w:szCs w:val="24"/>
        </w:rPr>
        <w:t>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пункт 6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пункт 8 изложить в следующей редакции:</w:t>
      </w:r>
    </w:p>
    <w:p w:rsidR="005A696B" w:rsidRDefault="008C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контроль о</w:t>
      </w:r>
      <w:r>
        <w:rPr>
          <w:rFonts w:ascii="Times New Roman" w:hAnsi="Times New Roman"/>
          <w:sz w:val="24"/>
          <w:szCs w:val="24"/>
        </w:rPr>
        <w:t>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A696B" w:rsidRDefault="008C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Учет рисков</w:t>
      </w:r>
      <w:r>
        <w:rPr>
          <w:rFonts w:ascii="Times New Roman" w:hAnsi="Times New Roman"/>
          <w:sz w:val="24"/>
          <w:szCs w:val="24"/>
        </w:rPr>
        <w:t xml:space="preserve">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</w:t>
      </w:r>
      <w:r>
        <w:rPr>
          <w:rFonts w:ascii="Times New Roman" w:hAnsi="Times New Roman"/>
          <w:sz w:val="24"/>
          <w:szCs w:val="24"/>
        </w:rPr>
        <w:t xml:space="preserve">       (далее – индикаторы риска) осуществляются контрольным органом в соответствии с главой 5 Федерального закона № 248-ФЗ.</w:t>
      </w:r>
    </w:p>
    <w:p w:rsidR="005A696B" w:rsidRDefault="008C4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 учетом тяжести причинения вреда (ущерба) охраняемым законом ценностям и вероятности наступления негативных событий, которые могут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повлечь причинение вреда (ущерба) охраняемым законом ценностям, а также с учетом добросовестности контролируемых лиц, объекты контроля подлежат отнесению к следующим категориям риска:</w:t>
      </w:r>
    </w:p>
    <w:p w:rsidR="005A696B" w:rsidRDefault="008C49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1) средний риск;</w:t>
      </w:r>
    </w:p>
    <w:p w:rsidR="005A696B" w:rsidRDefault="008C49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2) умеренный риск;</w:t>
      </w:r>
    </w:p>
    <w:p w:rsidR="005A696B" w:rsidRDefault="008C49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3) низкий риск.</w:t>
      </w:r>
    </w:p>
    <w:p w:rsidR="005A696B" w:rsidRDefault="008C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отнесении объек</w:t>
      </w:r>
      <w:r>
        <w:rPr>
          <w:rFonts w:ascii="Times New Roman" w:hAnsi="Times New Roman"/>
          <w:sz w:val="24"/>
          <w:szCs w:val="24"/>
        </w:rPr>
        <w:t>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</w:t>
      </w:r>
      <w:r>
        <w:rPr>
          <w:rFonts w:ascii="Times New Roman" w:hAnsi="Times New Roman"/>
          <w:sz w:val="24"/>
          <w:szCs w:val="24"/>
        </w:rPr>
        <w:t>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Отнесение объекта контроля к одной из категорий риска осуществляется контрольным органом на основе сопоставления его характеристик </w:t>
      </w:r>
      <w:r>
        <w:rPr>
          <w:rFonts w:ascii="Times New Roman" w:hAnsi="Times New Roman"/>
          <w:sz w:val="24"/>
          <w:szCs w:val="24"/>
        </w:rPr>
        <w:t>с утвержденными критериями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отнесения объектов контроля к категориям риска в рамках осуществления муниципального контроля указаны в разделе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Допустимый уровень риска причинения вреда (ущерба) закреплен в ключевых показателях вида муниципального контроля в соответствии с разделом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</w:t>
      </w:r>
      <w:r>
        <w:rPr>
          <w:rFonts w:ascii="Times New Roman" w:hAnsi="Times New Roman"/>
          <w:sz w:val="24"/>
          <w:szCs w:val="24"/>
        </w:rPr>
        <w:t xml:space="preserve">а внепланового контрольного мероприятия контрольный орган применяет индикаторы риска в соответствии с разделом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Контрольным органом обеспечивается организация постоянного мониторинга (сбора, обработки, анализа и учета) сведений, исп</w:t>
      </w:r>
      <w:r>
        <w:rPr>
          <w:rFonts w:ascii="Times New Roman" w:hAnsi="Times New Roman"/>
          <w:sz w:val="24"/>
          <w:szCs w:val="24"/>
        </w:rPr>
        <w:t>ользуемых для оценки и управления рисками причинения вреда (ущерба).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5 рабо</w:t>
      </w:r>
      <w:r>
        <w:rPr>
          <w:rFonts w:ascii="Times New Roman" w:hAnsi="Times New Roman"/>
          <w:sz w:val="24"/>
          <w:szCs w:val="24"/>
        </w:rPr>
        <w:t>чих дней со дня поступления указанных сведений принимает решение об изменении категории риска указанного объекта контроля.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</w:t>
      </w:r>
      <w:r>
        <w:rPr>
          <w:rFonts w:ascii="Times New Roman" w:hAnsi="Times New Roman"/>
          <w:sz w:val="24"/>
          <w:szCs w:val="24"/>
        </w:rPr>
        <w:t>кого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</w:t>
      </w:r>
      <w:r>
        <w:rPr>
          <w:rFonts w:ascii="Times New Roman" w:hAnsi="Times New Roman"/>
          <w:sz w:val="24"/>
          <w:szCs w:val="24"/>
        </w:rPr>
        <w:t>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запросу контролируемого лица контрольный орган в установленном порядке предоставляет информаци</w:t>
      </w:r>
      <w:r>
        <w:rPr>
          <w:rFonts w:ascii="Times New Roman" w:hAnsi="Times New Roman"/>
          <w:sz w:val="24"/>
          <w:szCs w:val="24"/>
        </w:rPr>
        <w:t>ю о присвоенной категории риска, а также сведения, на основании которых принято решение об отнесении к категории риска.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</w:t>
      </w:r>
      <w:r>
        <w:rPr>
          <w:rFonts w:ascii="Times New Roman" w:hAnsi="Times New Roman"/>
          <w:sz w:val="24"/>
          <w:szCs w:val="24"/>
        </w:rPr>
        <w:t>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регионального государственного контроля (надзора), муниципального контроля» (далее – ЕРВК) в соответствии с критериями риска.»;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разделе «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Профилактика рисков причинения вреда (ущерба) охраняемым законом ценностям»: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дополнить  абзаце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вторым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«Размещенные сведения поддерживаются в актуальном состоянии и обновляются в срок не более 5 рабочих дней с момента их изменения.»;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дополнить  абзацем</w:t>
      </w:r>
      <w:r>
        <w:rPr>
          <w:rFonts w:ascii="Times New Roman" w:hAnsi="Times New Roman"/>
          <w:sz w:val="24"/>
          <w:szCs w:val="24"/>
        </w:rPr>
        <w:t xml:space="preserve"> вторым </w:t>
      </w:r>
      <w:r>
        <w:rPr>
          <w:rFonts w:ascii="Times New Roman" w:hAnsi="Times New Roman"/>
          <w:sz w:val="24"/>
          <w:szCs w:val="24"/>
        </w:rPr>
        <w:t>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«Объявленное предостережение кон</w:t>
      </w:r>
      <w:r>
        <w:rPr>
          <w:rFonts w:ascii="Times New Roman" w:hAnsi="Times New Roman"/>
          <w:sz w:val="24"/>
          <w:szCs w:val="24"/>
        </w:rPr>
        <w:t xml:space="preserve">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</w:t>
      </w:r>
      <w:r>
        <w:rPr>
          <w:rFonts w:ascii="Times New Roman" w:hAnsi="Times New Roman"/>
          <w:sz w:val="24"/>
          <w:szCs w:val="24"/>
        </w:rPr>
        <w:t>(функций), а также по адресу электронной почты или почтовым отправлением (в случае направления на бумажном носителе).»;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пункт 19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</w:rPr>
        <w:t xml:space="preserve">Контролируемое лицо в течение 10 рабочих дней со дня получения предостережения вправе </w:t>
      </w:r>
      <w:r>
        <w:rPr>
          <w:rFonts w:ascii="Times New Roman" w:hAnsi="Times New Roman"/>
          <w:sz w:val="24"/>
          <w:szCs w:val="24"/>
        </w:rPr>
        <w:t>подать в контрол</w:t>
      </w:r>
      <w:r>
        <w:rPr>
          <w:rFonts w:ascii="Times New Roman" w:hAnsi="Times New Roman"/>
          <w:sz w:val="24"/>
          <w:szCs w:val="24"/>
        </w:rPr>
        <w:t>ьный</w:t>
      </w:r>
      <w:r>
        <w:rPr>
          <w:rFonts w:ascii="Times New Roman" w:hAnsi="Times New Roman"/>
          <w:sz w:val="24"/>
          <w:szCs w:val="24"/>
        </w:rPr>
        <w:t xml:space="preserve"> орган возражение в отношении указанного предостережения,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</w:t>
      </w:r>
      <w:r>
        <w:rPr>
          <w:rFonts w:ascii="Times New Roman" w:hAnsi="Times New Roman"/>
          <w:sz w:val="24"/>
          <w:szCs w:val="24"/>
        </w:rPr>
        <w:t>ициальную электронную почту контрольного органа.»;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Осуществление муниципального контроля»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Осуществление муниципального контроля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контроль со взаимодействием с контролируемым лицом осущ</w:t>
      </w:r>
      <w:r>
        <w:rPr>
          <w:rFonts w:ascii="Times New Roman" w:hAnsi="Times New Roman"/>
          <w:sz w:val="24"/>
          <w:szCs w:val="24"/>
        </w:rPr>
        <w:t>ествляется при проведении следующих контрольных мероприятий: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инспекционный визит;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рейдовый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документарная проверка;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выездная проверка.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Инспекционный визит, выездная проверка, рейдовый осмотр могут проводиться с использованием средств дис</w:t>
      </w:r>
      <w:r>
        <w:rPr>
          <w:rFonts w:ascii="Times New Roman" w:hAnsi="Times New Roman"/>
          <w:sz w:val="24"/>
          <w:szCs w:val="24"/>
        </w:rPr>
        <w:t>танционного взаимодействия, в том числе посредством видео-конференц-связи, а также с использованием мобильного приложения «Инспектор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При проведении контрольных мероприятий в рамках осуществления муниципального контроля </w:t>
      </w:r>
      <w:r>
        <w:rPr>
          <w:rFonts w:ascii="Times New Roman" w:hAnsi="Times New Roman"/>
          <w:sz w:val="24"/>
          <w:szCs w:val="24"/>
        </w:rPr>
        <w:t>инспектор</w:t>
      </w:r>
      <w:r>
        <w:rPr>
          <w:rFonts w:ascii="Times New Roman" w:hAnsi="Times New Roman"/>
          <w:sz w:val="24"/>
          <w:szCs w:val="24"/>
        </w:rPr>
        <w:t>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совершает </w:t>
      </w:r>
      <w:r>
        <w:rPr>
          <w:rFonts w:ascii="Times New Roman" w:hAnsi="Times New Roman"/>
          <w:sz w:val="24"/>
          <w:szCs w:val="24"/>
        </w:rPr>
        <w:t>действия, предусмотренные частью 2 статьи 29 Федерального закона                   № 248-ФЗ;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принимает решения, предусмотренные частью 2 статьи 90 Федерального закона                   № 248-ФЗ;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использует для фиксации доказательств нарушений обязате</w:t>
      </w:r>
      <w:r>
        <w:rPr>
          <w:rFonts w:ascii="Times New Roman" w:hAnsi="Times New Roman"/>
          <w:sz w:val="24"/>
          <w:szCs w:val="24"/>
        </w:rPr>
        <w:t xml:space="preserve">льных требований фотосъемку, аудио- и (или) видеозапись, если совершение указанных действий не запрещено федеральными законами.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В целях фиксации доказательств нарушений обязательных требований могут быть использованы любые имеющиеся в распоряжении тех</w:t>
      </w:r>
      <w:r>
        <w:rPr>
          <w:rFonts w:ascii="Times New Roman" w:hAnsi="Times New Roman"/>
          <w:sz w:val="24"/>
          <w:szCs w:val="24"/>
        </w:rPr>
        <w:t xml:space="preserve">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</w:t>
      </w:r>
      <w:r>
        <w:rPr>
          <w:rFonts w:ascii="Times New Roman" w:hAnsi="Times New Roman"/>
          <w:sz w:val="24"/>
          <w:szCs w:val="24"/>
        </w:rPr>
        <w:t>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</w:t>
      </w:r>
      <w:r>
        <w:rPr>
          <w:rFonts w:ascii="Times New Roman" w:hAnsi="Times New Roman"/>
          <w:sz w:val="24"/>
          <w:szCs w:val="24"/>
        </w:rPr>
        <w:t>рушений обязательных требований при осуществлении контрольных мероприятий принимается инспекторами самостоятельно.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</w:t>
      </w:r>
      <w:r>
        <w:rPr>
          <w:rFonts w:ascii="Times New Roman" w:hAnsi="Times New Roman"/>
          <w:sz w:val="24"/>
          <w:szCs w:val="24"/>
        </w:rPr>
        <w:t xml:space="preserve"> мероприятия.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</w:t>
      </w:r>
      <w:r>
        <w:rPr>
          <w:rFonts w:ascii="Times New Roman" w:hAnsi="Times New Roman"/>
          <w:sz w:val="24"/>
          <w:szCs w:val="24"/>
        </w:rPr>
        <w:t xml:space="preserve">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</w:t>
      </w:r>
      <w:r>
        <w:rPr>
          <w:rFonts w:ascii="Times New Roman" w:hAnsi="Times New Roman"/>
          <w:sz w:val="24"/>
          <w:szCs w:val="24"/>
        </w:rPr>
        <w:t>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2. При осуществлении муниципального контроля плановые контрольные мероприятия не проводятся.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мероприятия осуществляются на внеплановой основе.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Для проведения контрольного мероприятия, предусматривающего взаимодействие с контролируемым лицо</w:t>
      </w:r>
      <w:r>
        <w:rPr>
          <w:rFonts w:ascii="Times New Roman" w:hAnsi="Times New Roman"/>
          <w:sz w:val="24"/>
          <w:szCs w:val="24"/>
        </w:rPr>
        <w:t>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Инспекционный визит проводится в порядке и в сроки, установленные ста</w:t>
      </w:r>
      <w:r>
        <w:rPr>
          <w:rFonts w:ascii="Times New Roman" w:hAnsi="Times New Roman"/>
          <w:sz w:val="24"/>
          <w:szCs w:val="24"/>
        </w:rPr>
        <w:t>тьей 70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опрос;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инструментальное обследование;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истребование документов, которые в соответств</w:t>
      </w:r>
      <w:r>
        <w:rPr>
          <w:rFonts w:ascii="Times New Roman" w:hAnsi="Times New Roman"/>
          <w:sz w:val="24"/>
          <w:szCs w:val="24"/>
        </w:rPr>
        <w:t>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Внеплановый инспекционный визит может про</w:t>
      </w:r>
      <w:r>
        <w:rPr>
          <w:rFonts w:ascii="Times New Roman" w:hAnsi="Times New Roman"/>
          <w:sz w:val="24"/>
          <w:szCs w:val="24"/>
        </w:rPr>
        <w:t>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Рейдовый осмотр проводится в порядке и в </w:t>
      </w:r>
      <w:r>
        <w:rPr>
          <w:rFonts w:ascii="Times New Roman" w:hAnsi="Times New Roman"/>
          <w:sz w:val="24"/>
          <w:szCs w:val="24"/>
        </w:rPr>
        <w:t>сроки, установленные статьей 71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опрос;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истребование документов;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инструментальное обследование;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испытание;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</w:t>
      </w:r>
      <w:r>
        <w:rPr>
          <w:rFonts w:ascii="Times New Roman" w:hAnsi="Times New Roman"/>
          <w:sz w:val="24"/>
          <w:szCs w:val="24"/>
        </w:rPr>
        <w:t xml:space="preserve">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Документарная проверка проводится в порядке и в сроки, установленные статьей 72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истребование д</w:t>
      </w:r>
      <w:r>
        <w:rPr>
          <w:rFonts w:ascii="Times New Roman" w:hAnsi="Times New Roman"/>
          <w:sz w:val="24"/>
          <w:szCs w:val="24"/>
        </w:rPr>
        <w:t>окументов;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В соо</w:t>
      </w:r>
      <w:r>
        <w:rPr>
          <w:rFonts w:ascii="Times New Roman" w:hAnsi="Times New Roman"/>
          <w:sz w:val="24"/>
          <w:szCs w:val="24"/>
        </w:rPr>
        <w:t>тветствии со статьей 73 Федерального закона № 248-ФЗ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</w:t>
      </w:r>
      <w:r>
        <w:rPr>
          <w:rFonts w:ascii="Times New Roman" w:hAnsi="Times New Roman"/>
          <w:sz w:val="24"/>
          <w:szCs w:val="24"/>
        </w:rPr>
        <w:t>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</w:t>
      </w:r>
      <w:r>
        <w:rPr>
          <w:rFonts w:ascii="Times New Roman" w:hAnsi="Times New Roman"/>
          <w:sz w:val="24"/>
          <w:szCs w:val="24"/>
        </w:rPr>
        <w:t>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</w:t>
      </w:r>
      <w:r>
        <w:rPr>
          <w:rFonts w:ascii="Times New Roman" w:hAnsi="Times New Roman"/>
          <w:sz w:val="24"/>
          <w:szCs w:val="24"/>
        </w:rPr>
        <w:t>ому структурному подразделению организации или производственному объекту.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опрос;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истребование документов;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инструментальное </w:t>
      </w:r>
      <w:r>
        <w:rPr>
          <w:rFonts w:ascii="Times New Roman" w:hAnsi="Times New Roman"/>
          <w:sz w:val="24"/>
          <w:szCs w:val="24"/>
        </w:rPr>
        <w:t>обследование;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испытание;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</w:t>
      </w:r>
      <w:r>
        <w:rPr>
          <w:rFonts w:ascii="Times New Roman" w:hAnsi="Times New Roman"/>
          <w:sz w:val="24"/>
          <w:szCs w:val="24"/>
        </w:rPr>
        <w:t>.1 статьи 66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Без взаимодействия с контролируемым лицом осуществляются следующие контрольные мероприятия: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наблюдение за соблюдением обязательных требований;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выездное обследование.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 задания руководителя (заместителя руководителя) контрольного органа, задания, содержащегося</w:t>
      </w:r>
      <w:r>
        <w:rPr>
          <w:rFonts w:ascii="Times New Roman" w:hAnsi="Times New Roman"/>
          <w:sz w:val="24"/>
          <w:szCs w:val="24"/>
        </w:rPr>
        <w:t xml:space="preserve"> в планах работы контрольного органа, в том числе в случаях, установленных Федеральным законом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</w:t>
      </w:r>
      <w:r>
        <w:rPr>
          <w:rFonts w:ascii="Times New Roman" w:hAnsi="Times New Roman"/>
          <w:sz w:val="24"/>
          <w:szCs w:val="24"/>
        </w:rPr>
        <w:t xml:space="preserve"> контрольные действия: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осмотр;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отбор проб (образцов);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инструментальное обследование (с применением видеозаписи);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испытание;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экспертиза.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Контрольный орган при организации и осуществлении муниципального контроля получает на безвозмездной о</w:t>
      </w:r>
      <w:r>
        <w:rPr>
          <w:rFonts w:ascii="Times New Roman" w:hAnsi="Times New Roman"/>
          <w:sz w:val="24"/>
          <w:szCs w:val="24"/>
        </w:rPr>
        <w:t>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</w:t>
      </w:r>
      <w:r>
        <w:rPr>
          <w:rFonts w:ascii="Times New Roman" w:hAnsi="Times New Roman"/>
          <w:sz w:val="24"/>
          <w:szCs w:val="24"/>
        </w:rPr>
        <w:t>е.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 в случаях: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временной нетрудоспособности индивидуал</w:t>
      </w:r>
      <w:r>
        <w:rPr>
          <w:rFonts w:ascii="Times New Roman" w:hAnsi="Times New Roman"/>
          <w:sz w:val="24"/>
          <w:szCs w:val="24"/>
        </w:rPr>
        <w:t>ьного предпринимателя, гражданина;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нахождения за пределами Российской Федерации;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административного ареста;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</w:t>
      </w:r>
      <w:r>
        <w:rPr>
          <w:rFonts w:ascii="Times New Roman" w:hAnsi="Times New Roman"/>
          <w:sz w:val="24"/>
          <w:szCs w:val="24"/>
        </w:rPr>
        <w:t>дении, запрете определенных действий, заключения под стражу, домашнего ареста;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эпиде</w:t>
      </w:r>
      <w:r>
        <w:rPr>
          <w:rFonts w:ascii="Times New Roman" w:hAnsi="Times New Roman"/>
          <w:sz w:val="24"/>
          <w:szCs w:val="24"/>
        </w:rPr>
        <w:t>мия и другие чрезвычайные обстоятельства).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Информация, указанная в пункте 40 настоящего Положения, должна содержать: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описание обстоятельств, в связи с которыми невозможно присутствие при проведении контрольного мероприятия;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о причинно-сл</w:t>
      </w:r>
      <w:r>
        <w:rPr>
          <w:rFonts w:ascii="Times New Roman" w:hAnsi="Times New Roman"/>
          <w:sz w:val="24"/>
          <w:szCs w:val="24"/>
        </w:rPr>
        <w:t>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указание на срок, необходимый для устранения обстоятельств, препятствующих присутствию при проведении контрольного ме</w:t>
      </w:r>
      <w:r>
        <w:rPr>
          <w:rFonts w:ascii="Times New Roman" w:hAnsi="Times New Roman"/>
          <w:sz w:val="24"/>
          <w:szCs w:val="24"/>
        </w:rPr>
        <w:t>роприятия.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По окончании проведения контрольного мероприятия, предусматривающего взаимодействие с конт</w:t>
      </w:r>
      <w:r>
        <w:rPr>
          <w:rFonts w:ascii="Times New Roman" w:hAnsi="Times New Roman"/>
          <w:sz w:val="24"/>
          <w:szCs w:val="24"/>
        </w:rPr>
        <w:t xml:space="preserve">ролируемым лицом, должностное лицо контрольного органа составляет соответствующий акт. </w:t>
      </w:r>
      <w:r>
        <w:rPr>
          <w:rFonts w:ascii="Times New Roman" w:hAnsi="Times New Roman"/>
          <w:sz w:val="24"/>
          <w:szCs w:val="24"/>
        </w:rPr>
        <w:tab/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</w:t>
      </w:r>
      <w:r>
        <w:rPr>
          <w:rFonts w:ascii="Times New Roman" w:hAnsi="Times New Roman"/>
          <w:sz w:val="24"/>
          <w:szCs w:val="24"/>
        </w:rPr>
        <w:t xml:space="preserve"> нарушено, каким нормативным правовым актом и его структурной единицей оно установлено.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</w:t>
      </w:r>
      <w:r>
        <w:rPr>
          <w:rFonts w:ascii="Times New Roman" w:hAnsi="Times New Roman"/>
          <w:sz w:val="24"/>
          <w:szCs w:val="24"/>
        </w:rPr>
        <w:t xml:space="preserve">я факт его устранения.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акта производится на месте </w:t>
      </w:r>
      <w:r>
        <w:rPr>
          <w:rFonts w:ascii="Times New Roman" w:hAnsi="Times New Roman"/>
          <w:sz w:val="24"/>
          <w:szCs w:val="24"/>
        </w:rPr>
        <w:t>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контрольного мероприятия, проведение которого было согласовано органами прокуратуры</w:t>
      </w:r>
      <w:r>
        <w:rPr>
          <w:rFonts w:ascii="Times New Roman" w:hAnsi="Times New Roman"/>
          <w:sz w:val="24"/>
          <w:szCs w:val="24"/>
        </w:rPr>
        <w:t>, направляется в органы прокуратуры посредством ЕРКНМ непосредственно после его оформления.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</w:t>
      </w:r>
      <w:r>
        <w:rPr>
          <w:rFonts w:ascii="Times New Roman" w:hAnsi="Times New Roman"/>
          <w:sz w:val="24"/>
          <w:szCs w:val="24"/>
        </w:rPr>
        <w:t>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В случае проведения контрольных мероприятий с использованием мобильного приложения «Инспектор» либо составления акта контрольного</w:t>
      </w:r>
      <w:r>
        <w:rPr>
          <w:rFonts w:ascii="Times New Roman" w:hAnsi="Times New Roman"/>
          <w:sz w:val="24"/>
          <w:szCs w:val="24"/>
        </w:rPr>
        <w:t xml:space="preserve">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или в иных случ</w:t>
      </w:r>
      <w:r>
        <w:rPr>
          <w:rFonts w:ascii="Times New Roman" w:hAnsi="Times New Roman"/>
          <w:sz w:val="24"/>
          <w:szCs w:val="24"/>
        </w:rPr>
        <w:t>аях</w:t>
      </w:r>
      <w:r>
        <w:rPr>
          <w:rFonts w:ascii="Times New Roman" w:hAnsi="Times New Roman"/>
          <w:sz w:val="24"/>
          <w:szCs w:val="24"/>
        </w:rPr>
        <w:t xml:space="preserve"> установленных </w:t>
      </w:r>
      <w:r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№ 248-ФЗ, контрольный орган направляет акт контролируемому лицу в порядке, установленном статьей 21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В случае невозможности составления акта на месте проведения контрольного мероприятия</w:t>
      </w:r>
      <w:r>
        <w:rPr>
          <w:rFonts w:ascii="Times New Roman" w:hAnsi="Times New Roman"/>
          <w:sz w:val="24"/>
          <w:szCs w:val="24"/>
        </w:rPr>
        <w:t xml:space="preserve"> в день окончания проведения такого мероприятия в соответствии с частью 3 статьи 87 Федерального закона  № 248-ФЗ контролируемое лицо не подписывает акт и считается получившим акт в случае его размещения в ЕРКНМ и получения уведомления об этом в порядке, п</w:t>
      </w:r>
      <w:r>
        <w:rPr>
          <w:rFonts w:ascii="Times New Roman" w:hAnsi="Times New Roman"/>
          <w:sz w:val="24"/>
          <w:szCs w:val="24"/>
        </w:rPr>
        <w:t>редусмотренном пунктом 2 части 5 статьи 21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47.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</w:t>
      </w:r>
      <w:r>
        <w:rPr>
          <w:rFonts w:ascii="Times New Roman" w:hAnsi="Times New Roman"/>
          <w:sz w:val="24"/>
          <w:szCs w:val="24"/>
        </w:rPr>
        <w:t>тьи 90 Федерального закона № 248-ФЗ.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</w:t>
      </w:r>
      <w:r>
        <w:rPr>
          <w:rFonts w:ascii="Times New Roman" w:hAnsi="Times New Roman"/>
          <w:sz w:val="24"/>
          <w:szCs w:val="24"/>
        </w:rPr>
        <w:t>мероприятия, обязательного профилактического визита.»;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ункт 50 раздел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Обжалование решений контрольного органа, действий (бездействи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 должностных лиц, уполномоченных осуществлять контроль» изложить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«50. Контролируемые </w:t>
      </w:r>
      <w:r>
        <w:rPr>
          <w:rFonts w:ascii="Times New Roman" w:hAnsi="Times New Roman"/>
          <w:sz w:val="24"/>
          <w:szCs w:val="24"/>
        </w:rPr>
        <w:t>лица, права и законные интересы которых, по их мнению, были непосредственно нарушены в рамках осуществления муниципального контроля имеют право на досудебное обжалование: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решений о проведении контрольных мероприятий и обязательных профилактических визит</w:t>
      </w:r>
      <w:r>
        <w:rPr>
          <w:rFonts w:ascii="Times New Roman" w:hAnsi="Times New Roman"/>
          <w:sz w:val="24"/>
          <w:szCs w:val="24"/>
        </w:rPr>
        <w:t>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действий (бездействия) должностных лиц контрольного органа в рамках контрольных мероприятий и обязательных профилактических виз</w:t>
      </w:r>
      <w:r>
        <w:rPr>
          <w:rFonts w:ascii="Times New Roman" w:hAnsi="Times New Roman"/>
          <w:sz w:val="24"/>
          <w:szCs w:val="24"/>
        </w:rPr>
        <w:t>итов;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иных решений, принимаемых контрольными органами по итогам профил</w:t>
      </w:r>
      <w:r>
        <w:rPr>
          <w:rFonts w:ascii="Times New Roman" w:hAnsi="Times New Roman"/>
          <w:sz w:val="24"/>
          <w:szCs w:val="24"/>
        </w:rPr>
        <w:t xml:space="preserve">актических и (или) контрольных мероприятий, предусмотренных Федеральным законом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248-ФЗ, в отношении контролируемых лиц или объектов контроля.»;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разделе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Ключевые показатели контроля в сфере благоустройства и их целевые значения»: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60 из</w:t>
      </w:r>
      <w:r>
        <w:rPr>
          <w:rFonts w:ascii="Times New Roman" w:hAnsi="Times New Roman"/>
          <w:sz w:val="24"/>
          <w:szCs w:val="24"/>
        </w:rPr>
        <w:t>ложить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«60. Оценка результативности и эффективности деятельности контрольного органа по муниципальному контролю осуществляется на основе системы показателей результативности и эффективности</w:t>
      </w:r>
      <w:r>
        <w:rPr>
          <w:rFonts w:ascii="Times New Roman" w:hAnsi="Times New Roman"/>
          <w:sz w:val="24"/>
          <w:szCs w:val="24"/>
        </w:rPr>
        <w:t xml:space="preserve"> муниципального контроля</w:t>
      </w:r>
      <w:r>
        <w:rPr>
          <w:rFonts w:ascii="Times New Roman" w:hAnsi="Times New Roman"/>
          <w:sz w:val="24"/>
          <w:szCs w:val="24"/>
        </w:rPr>
        <w:t>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61 излож</w:t>
      </w:r>
      <w:r>
        <w:rPr>
          <w:rFonts w:ascii="Times New Roman" w:hAnsi="Times New Roman"/>
          <w:sz w:val="24"/>
          <w:szCs w:val="24"/>
        </w:rPr>
        <w:t>ить в следующей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61. </w:t>
      </w:r>
      <w:r>
        <w:rPr>
          <w:rFonts w:ascii="Times New Roman" w:hAnsi="Times New Roman"/>
          <w:sz w:val="24"/>
          <w:szCs w:val="24"/>
        </w:rPr>
        <w:t>В систему показателей результативности и эффективности деятельности контрольного органа входят: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</w:t>
      </w:r>
      <w:r>
        <w:rPr>
          <w:rFonts w:ascii="Times New Roman" w:hAnsi="Times New Roman"/>
          <w:sz w:val="24"/>
          <w:szCs w:val="24"/>
        </w:rPr>
        <w:t>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индикативные показатели вида контроля, применяемые для мониторинга к</w:t>
      </w:r>
      <w:r>
        <w:rPr>
          <w:rFonts w:ascii="Times New Roman" w:hAnsi="Times New Roman"/>
          <w:sz w:val="24"/>
          <w:szCs w:val="24"/>
        </w:rPr>
        <w:t>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</w:t>
      </w:r>
      <w:r>
        <w:rPr>
          <w:rFonts w:ascii="Times New Roman" w:hAnsi="Times New Roman"/>
          <w:sz w:val="24"/>
          <w:szCs w:val="24"/>
        </w:rPr>
        <w:t>овых ресурсов, а также уровень вмешательства в деятельность контролируемых лиц.</w:t>
      </w:r>
    </w:p>
    <w:p w:rsidR="005A696B" w:rsidRDefault="005A69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7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1529"/>
        <w:gridCol w:w="1808"/>
        <w:gridCol w:w="1529"/>
        <w:gridCol w:w="974"/>
        <w:gridCol w:w="694"/>
        <w:gridCol w:w="687"/>
        <w:gridCol w:w="705"/>
        <w:gridCol w:w="1356"/>
      </w:tblGrid>
      <w:tr w:rsidR="005A696B">
        <w:trPr>
          <w:trHeight w:val="7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(интерпретация значений)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 &lt;*&gt;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данных для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 значений показателя</w:t>
            </w:r>
          </w:p>
        </w:tc>
      </w:tr>
      <w:tr w:rsidR="005A696B">
        <w:trPr>
          <w:trHeight w:val="78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5A6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6B">
        <w:trPr>
          <w:trHeight w:val="464"/>
        </w:trPr>
        <w:tc>
          <w:tcPr>
            <w:tcW w:w="9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5A696B">
        <w:trPr>
          <w:trHeight w:val="7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5A696B">
        <w:trPr>
          <w:trHeight w:val="753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травмированных в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результате нарушения норм и правил в процессе осуществления деятельности, установленных Правилами благоустройства территории г.п.Белоярский, на 10 тыс. населения, человек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 / Ср * 10 000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- количество травмированных в результате нарушения норм и правил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осуществления деятельности, установленных Правилами благоустройства территории г</w:t>
            </w:r>
            <w:r>
              <w:rPr>
                <w:rFonts w:ascii="Times New Roman" w:hAnsi="Times New Roman"/>
                <w:sz w:val="24"/>
                <w:szCs w:val="24"/>
              </w:rPr>
              <w:t>ородского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Белоярский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 - среднегодовая численность населения в текущем периоде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6B" w:rsidRDefault="008C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данные контрольного органа </w:t>
            </w:r>
          </w:p>
        </w:tc>
      </w:tr>
    </w:tbl>
    <w:p w:rsidR="005A696B" w:rsidRDefault="008C49F9">
      <w:pPr>
        <w:spacing w:after="0" w:line="240" w:lineRule="auto"/>
        <w:ind w:firstLine="708"/>
        <w:jc w:val="right"/>
        <w:rPr>
          <w:rFonts w:ascii="Times New Roman"/>
        </w:rPr>
      </w:pPr>
      <w:r>
        <w:rPr>
          <w:rFonts w:ascii="Times New Roman"/>
        </w:rPr>
        <w:t>»</w:t>
      </w:r>
      <w:r>
        <w:rPr>
          <w:rFonts w:ascii="Times New Roman"/>
        </w:rPr>
        <w:t>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пункт 63 </w:t>
      </w:r>
      <w:r>
        <w:rPr>
          <w:rFonts w:ascii="Times New Roman" w:hAnsi="Times New Roman"/>
          <w:sz w:val="24"/>
          <w:szCs w:val="24"/>
        </w:rPr>
        <w:t xml:space="preserve"> раздел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поселения Белоярский»  изложить в следующе редакции: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«63. При оценке вероятности нарушения</w:t>
      </w:r>
      <w:r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 индикатором риска являются: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</w:t>
      </w:r>
      <w:r>
        <w:rPr>
          <w:rFonts w:ascii="Times New Roman" w:hAnsi="Times New Roman"/>
          <w:sz w:val="24"/>
          <w:szCs w:val="24"/>
        </w:rPr>
        <w:t xml:space="preserve"> месяца признаках несоответствия и (или) отклонения от параметров, установленных правилами благоустройства;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поступление в контрольный орган в порядке межведомственного информационного взаимодействия и (или) получение посредством фотовидеофиксации в тече</w:t>
      </w:r>
      <w:r>
        <w:rPr>
          <w:rFonts w:ascii="Times New Roman" w:hAnsi="Times New Roman"/>
          <w:sz w:val="24"/>
          <w:szCs w:val="24"/>
        </w:rPr>
        <w:t>ние одного календарного года информации, свидетельствующей о двух и более случаях отклонения при осуществлении деятельности контролируемым лицом, способной повлечь загрязнение, порчу и (или) оказать иное негативное воздействие на объекты благоустройства те</w:t>
      </w:r>
      <w:r>
        <w:rPr>
          <w:rFonts w:ascii="Times New Roman" w:hAnsi="Times New Roman"/>
          <w:sz w:val="24"/>
          <w:szCs w:val="24"/>
        </w:rPr>
        <w:t>рритории г.п. Белоярский.»;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ополнить разделом «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Критерии отнесения объектов контроля к определенной категории риска» следующего содержания: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Критерии отнесения объектов контроля к определенной категории риска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Критериями отнесения объекта</w:t>
      </w:r>
      <w:r>
        <w:rPr>
          <w:rFonts w:ascii="Times New Roman" w:hAnsi="Times New Roman"/>
          <w:sz w:val="24"/>
          <w:szCs w:val="24"/>
        </w:rPr>
        <w:t xml:space="preserve"> муниципального контроля к средней категории риска является – наличие факта в течение последнего года на дату принятия решения об отнесении деятельности юридического лица, индивидуального предпринимателя или физического лица к категории риска предписания, </w:t>
      </w:r>
      <w:r>
        <w:rPr>
          <w:rFonts w:ascii="Times New Roman" w:hAnsi="Times New Roman"/>
          <w:sz w:val="24"/>
          <w:szCs w:val="24"/>
        </w:rPr>
        <w:t>не исполненного в срок, установленный предписанием, выданным по факту несоблюдения требований Правил благоустройства и (или) при наличии вступившего в законную силу в течение последнего года на дату принятия решения об отнесении деятельности юридического л</w:t>
      </w:r>
      <w:r>
        <w:rPr>
          <w:rFonts w:ascii="Times New Roman" w:hAnsi="Times New Roman"/>
          <w:sz w:val="24"/>
          <w:szCs w:val="24"/>
        </w:rPr>
        <w:t>ица, индивидуального предпринимателя или физического лица к категории риска постановления о назначении административного наказания юридическому лицу, его должностным лицам, индивидуальному предпринимателю или гражданину за совершение административного прав</w:t>
      </w:r>
      <w:r>
        <w:rPr>
          <w:rFonts w:ascii="Times New Roman" w:hAnsi="Times New Roman"/>
          <w:sz w:val="24"/>
          <w:szCs w:val="24"/>
        </w:rPr>
        <w:t>онарушения, связанного с нарушением требований Правил благоустройства</w:t>
      </w:r>
      <w:r>
        <w:rPr>
          <w:rFonts w:ascii="Times New Roman" w:hAnsi="Times New Roman"/>
          <w:sz w:val="24"/>
          <w:szCs w:val="24"/>
        </w:rPr>
        <w:t>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Критериями отнесения объекта муниципального контроля к умеренной категории риска является -  наличи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 течение последнего года на дату принятия (изменения) решения об отнесении объекта контроля к категории риска, постановления (решения) по делу об административном правонарушении, связанного с невыполнением в срок законного предписания об устранении выявл</w:t>
      </w:r>
      <w:r>
        <w:rPr>
          <w:rFonts w:ascii="Times New Roman" w:hAnsi="Times New Roman"/>
          <w:sz w:val="24"/>
          <w:szCs w:val="24"/>
        </w:rPr>
        <w:t>енных нарушений обязательных требований, ответственность за которое предусмотрена статьей 19.5 Кодекса Российской Федерации об административных правонарушениях.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Критерием отнесения объекта муниципального контроля к низкой категории риска является - отс</w:t>
      </w:r>
      <w:r>
        <w:rPr>
          <w:rFonts w:ascii="Times New Roman" w:hAnsi="Times New Roman"/>
          <w:sz w:val="24"/>
          <w:szCs w:val="24"/>
        </w:rPr>
        <w:t xml:space="preserve">утствие обстоятельств, предусмотренных для </w:t>
      </w:r>
      <w:r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и умеренного риска.</w:t>
      </w:r>
      <w:r>
        <w:rPr>
          <w:rFonts w:ascii="Times New Roman" w:hAnsi="Times New Roman"/>
          <w:sz w:val="24"/>
          <w:szCs w:val="24"/>
        </w:rPr>
        <w:t>».</w:t>
      </w:r>
    </w:p>
    <w:p w:rsidR="005A696B" w:rsidRDefault="008C4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«Белоярские вести. Официальный выпуск».</w:t>
      </w:r>
    </w:p>
    <w:p w:rsidR="005A696B" w:rsidRDefault="008C4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5A696B" w:rsidRDefault="005A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696B" w:rsidRDefault="005A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96B" w:rsidRDefault="008C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</w:t>
      </w:r>
      <w:r>
        <w:rPr>
          <w:rFonts w:ascii="Times New Roman" w:hAnsi="Times New Roman"/>
          <w:sz w:val="24"/>
          <w:szCs w:val="24"/>
        </w:rPr>
        <w:t>Белоярского района                                                              А.Г.Берестов</w:t>
      </w:r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8C49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С.П.Маненков</w:t>
      </w:r>
    </w:p>
    <w:sectPr w:rsidR="005A696B">
      <w:pgSz w:w="11906" w:h="16838"/>
      <w:pgMar w:top="851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6B" w:rsidRDefault="008C49F9">
      <w:pPr>
        <w:spacing w:line="240" w:lineRule="auto"/>
      </w:pPr>
      <w:r>
        <w:separator/>
      </w:r>
    </w:p>
  </w:endnote>
  <w:endnote w:type="continuationSeparator" w:id="0">
    <w:p w:rsidR="005A696B" w:rsidRDefault="008C4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6B" w:rsidRDefault="008C49F9">
      <w:pPr>
        <w:spacing w:after="0" w:line="240" w:lineRule="auto"/>
      </w:pPr>
      <w:r>
        <w:separator/>
      </w:r>
    </w:p>
  </w:footnote>
  <w:footnote w:type="continuationSeparator" w:id="0">
    <w:p w:rsidR="005A696B" w:rsidRDefault="008C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0C4"/>
    <w:rsid w:val="000F6D73"/>
    <w:rsid w:val="00106323"/>
    <w:rsid w:val="001071AE"/>
    <w:rsid w:val="001403E9"/>
    <w:rsid w:val="00172A27"/>
    <w:rsid w:val="00191B77"/>
    <w:rsid w:val="001D2E49"/>
    <w:rsid w:val="002A71FD"/>
    <w:rsid w:val="002F14E0"/>
    <w:rsid w:val="0032608F"/>
    <w:rsid w:val="00331351"/>
    <w:rsid w:val="0033273F"/>
    <w:rsid w:val="003611DF"/>
    <w:rsid w:val="003B758D"/>
    <w:rsid w:val="00402AF2"/>
    <w:rsid w:val="004445C9"/>
    <w:rsid w:val="004577BD"/>
    <w:rsid w:val="00526E60"/>
    <w:rsid w:val="00551147"/>
    <w:rsid w:val="005515A9"/>
    <w:rsid w:val="005A696B"/>
    <w:rsid w:val="006849B7"/>
    <w:rsid w:val="00694BF0"/>
    <w:rsid w:val="006C216D"/>
    <w:rsid w:val="007043A5"/>
    <w:rsid w:val="0075138D"/>
    <w:rsid w:val="007D1BE9"/>
    <w:rsid w:val="007F63D2"/>
    <w:rsid w:val="00813501"/>
    <w:rsid w:val="00834D83"/>
    <w:rsid w:val="008679D3"/>
    <w:rsid w:val="00880A65"/>
    <w:rsid w:val="008873AD"/>
    <w:rsid w:val="00887EF4"/>
    <w:rsid w:val="008A6733"/>
    <w:rsid w:val="008C49F9"/>
    <w:rsid w:val="009074AD"/>
    <w:rsid w:val="00927329"/>
    <w:rsid w:val="009373FA"/>
    <w:rsid w:val="0097743A"/>
    <w:rsid w:val="00980B26"/>
    <w:rsid w:val="009C5D92"/>
    <w:rsid w:val="009D7C98"/>
    <w:rsid w:val="00A2340E"/>
    <w:rsid w:val="00A67E6B"/>
    <w:rsid w:val="00BA6670"/>
    <w:rsid w:val="00BD1667"/>
    <w:rsid w:val="00C37495"/>
    <w:rsid w:val="00C46106"/>
    <w:rsid w:val="00C50766"/>
    <w:rsid w:val="00CC0AE5"/>
    <w:rsid w:val="00CD23E7"/>
    <w:rsid w:val="00D11307"/>
    <w:rsid w:val="00D77E13"/>
    <w:rsid w:val="00DA3C09"/>
    <w:rsid w:val="00DB47AC"/>
    <w:rsid w:val="00E57F53"/>
    <w:rsid w:val="00EC54D9"/>
    <w:rsid w:val="00ED29B4"/>
    <w:rsid w:val="00ED448E"/>
    <w:rsid w:val="00F64F31"/>
    <w:rsid w:val="00FB1D18"/>
    <w:rsid w:val="00FF0CBF"/>
    <w:rsid w:val="084C548D"/>
    <w:rsid w:val="0FD27AC8"/>
    <w:rsid w:val="272776FD"/>
    <w:rsid w:val="30C30DD3"/>
    <w:rsid w:val="39CE10B5"/>
    <w:rsid w:val="5C642FDA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8347B-CA1A-437F-8F30-41C1B95E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3812</Words>
  <Characters>21729</Characters>
  <Application>Microsoft Office Word</Application>
  <DocSecurity>0</DocSecurity>
  <Lines>181</Lines>
  <Paragraphs>50</Paragraphs>
  <ScaleCrop>false</ScaleCrop>
  <Company/>
  <LinksUpToDate>false</LinksUpToDate>
  <CharactersWithSpaces>25491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Петрова Анастасия Михайловна</cp:lastModifiedBy>
  <cp:revision>21</cp:revision>
  <cp:lastPrinted>2025-06-03T11:37:00Z</cp:lastPrinted>
  <dcterms:created xsi:type="dcterms:W3CDTF">2025-05-13T06:20:00Z</dcterms:created>
  <dcterms:modified xsi:type="dcterms:W3CDTF">2025-06-05T11:10:00Z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90AA1D62AF1E4E20B9C8557E12584A19_12</vt:lpwstr>
  </property>
</Properties>
</file>