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«___» __________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№ 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540" w:leader="none"/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</w:t>
      </w:r>
      <w:r>
        <w:rPr>
          <w:b/>
          <w:sz w:val="24"/>
          <w:szCs w:val="24"/>
        </w:rPr>
        <w:t xml:space="preserve">постановлению администрации 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от 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июня</w:t>
      </w:r>
      <w:r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797</w:t>
      </w:r>
      <w:r>
        <w:rPr>
          <w:rFonts w:hint="default"/>
          <w:b/>
          <w:sz w:val="24"/>
          <w:szCs w:val="24"/>
          <w:lang w:val="ru-RU"/>
        </w:rPr>
      </w:r>
      <w:r>
        <w:rPr>
          <w:rFonts w:hint="default"/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к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администрации Белоярского района                                               от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июня</w:t>
      </w:r>
      <w:r>
        <w:rPr>
          <w:sz w:val="24"/>
          <w:szCs w:val="24"/>
        </w:rPr>
        <w:t xml:space="preserve"> 2013</w:t>
      </w:r>
      <w:r>
        <w:rPr>
          <w:sz w:val="24"/>
          <w:szCs w:val="24"/>
        </w:rPr>
        <w:t xml:space="preserve"> года № 797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О Белоярском районном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>
        <w:rPr>
          <w:sz w:val="24"/>
          <w:szCs w:val="24"/>
        </w:rPr>
        <w:t xml:space="preserve">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следующ</w:t>
      </w:r>
      <w:r>
        <w:rPr>
          <w:sz w:val="24"/>
          <w:szCs w:val="24"/>
          <w:lang w:val="ru-RU"/>
        </w:rPr>
        <w:t xml:space="preserve">ие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 xml:space="preserve">зменение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абзац первый пункт 4.2 </w:t>
      </w:r>
      <w:r>
        <w:rPr>
          <w:sz w:val="24"/>
          <w:szCs w:val="24"/>
        </w:rPr>
        <w:t xml:space="preserve">раздела 4</w:t>
      </w:r>
      <w:r>
        <w:rPr>
          <w:sz w:val="24"/>
          <w:szCs w:val="24"/>
        </w:rPr>
        <w:t xml:space="preserve"> «Управление районным звеном и информационное обеспечение»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редакции: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lang w:val="ru-RU"/>
        </w:rPr>
        <w:tab/>
        <w:t xml:space="preserve">«4.2. </w:t>
      </w:r>
      <w:r>
        <w:rPr>
          <w:rFonts w:hint="default"/>
          <w:sz w:val="24"/>
          <w:szCs w:val="24"/>
          <w:lang w:val="ru-RU"/>
        </w:rPr>
        <w:t xml:space="preserve">Информационное обеспечение в районном звене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</w:t>
      </w:r>
      <w:r>
        <w:rPr>
          <w:rFonts w:hint="default"/>
          <w:sz w:val="24"/>
          <w:szCs w:val="24"/>
          <w:lang w:val="ru-RU"/>
        </w:rPr>
        <w:t xml:space="preserve"> а также иных способов предоставления информации</w:t>
      </w:r>
      <w:r>
        <w:rPr>
          <w:rFonts w:hint="default"/>
          <w:sz w:val="24"/>
          <w:szCs w:val="24"/>
          <w:lang w:val="ru-RU"/>
        </w:rPr>
        <w:t xml:space="preserve">.</w:t>
      </w:r>
      <w:r>
        <w:rPr>
          <w:sz w:val="24"/>
          <w:szCs w:val="24"/>
        </w:rPr>
        <w:t xml:space="preserve">»</w:t>
      </w:r>
      <w:r>
        <w:rPr>
          <w:rFonts w:hint="default"/>
          <w:sz w:val="24"/>
          <w:szCs w:val="24"/>
          <w:lang w:val="ru-RU"/>
        </w:rPr>
        <w:t xml:space="preserve">;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ab/>
        <w:t xml:space="preserve">2) </w:t>
      </w:r>
      <w:r>
        <w:rPr>
          <w:sz w:val="24"/>
          <w:szCs w:val="24"/>
        </w:rPr>
        <w:t xml:space="preserve">пункт 5.2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«Функционирование районного звена»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редакции: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ab/>
        <w:t xml:space="preserve">«5.2. Решением</w:t>
      </w:r>
      <w:r>
        <w:rPr>
          <w:rFonts w:hint="default"/>
          <w:sz w:val="24"/>
          <w:szCs w:val="24"/>
          <w:highlight w:val="none"/>
          <w:lang w:val="ru-RU"/>
        </w:rPr>
        <w:t xml:space="preserve"> главы Белоярского района и локальным актом руководителя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</w:t>
      </w:r>
      <w:r>
        <w:rPr>
          <w:rFonts w:hint="default"/>
          <w:sz w:val="24"/>
          <w:szCs w:val="24"/>
          <w:highlight w:val="none"/>
          <w:lang w:val="ru-RU"/>
        </w:rPr>
        <w:t xml:space="preserve">авления, сил и средств районного звена вводится один из следующих режимов функционирования</w:t>
      </w:r>
      <w:r>
        <w:rPr>
          <w:rFonts w:hint="default"/>
          <w:sz w:val="24"/>
          <w:szCs w:val="24"/>
          <w:highlight w:val="none"/>
          <w:lang w:val="ru-RU"/>
        </w:rPr>
        <w:t xml:space="preserve">: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jc w:val="both"/>
      </w:pPr>
      <w:r>
        <w:rPr>
          <w:rFonts w:hint="default"/>
          <w:sz w:val="24"/>
          <w:szCs w:val="24"/>
          <w:highlight w:val="none"/>
          <w:lang w:val="ru-RU"/>
        </w:rPr>
        <w:tab/>
      </w:r>
      <w:r>
        <w:rPr>
          <w:rFonts w:hint="default"/>
          <w:sz w:val="24"/>
          <w:szCs w:val="24"/>
          <w:highlight w:val="none"/>
          <w:lang w:val="ru-RU"/>
        </w:rPr>
        <w:t xml:space="preserve">а) режим повышенной готовности - при угрозе возникновения чрезвычайных ситуаций;</w:t>
      </w:r>
      <w:r/>
    </w:p>
    <w:p>
      <w:pPr>
        <w:numPr>
          <w:ilvl w:val="0"/>
          <w:numId w:val="0"/>
        </w:numPr>
        <w:ind w:firstLine="708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б) режим чрезвычайной ситуации - при возникновении и ликвидации чрезвычайных ситуаций.</w:t>
      </w:r>
      <w:r>
        <w:rPr>
          <w:rFonts w:hint="default"/>
          <w:sz w:val="24"/>
          <w:szCs w:val="24"/>
          <w:highlight w:val="none"/>
          <w:lang w:val="ru-RU"/>
        </w:rPr>
        <w:t xml:space="preserve">».</w:t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38" w:right="851" w:bottom="1021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3"/>
        <w:sz w:val="24"/>
        <w:szCs w:val="24"/>
      </w:rPr>
      <w:framePr w:wrap="notBeside" w:vAnchor="text" w:hAnchor="margin" w:xAlign="center" w:y="1"/>
    </w:pPr>
    <w:r>
      <w:rPr>
        <w:rStyle w:val="873"/>
        <w:sz w:val="24"/>
        <w:szCs w:val="24"/>
      </w:rPr>
      <w:fldChar w:fldCharType="begin"/>
    </w:r>
    <w:r>
      <w:rPr>
        <w:rStyle w:val="873"/>
        <w:sz w:val="24"/>
        <w:szCs w:val="24"/>
      </w:rPr>
      <w:instrText xml:space="preserve">PAGE  </w:instrText>
    </w:r>
    <w:r>
      <w:rPr>
        <w:rStyle w:val="873"/>
        <w:sz w:val="24"/>
        <w:szCs w:val="24"/>
      </w:rPr>
      <w:fldChar w:fldCharType="separate"/>
    </w:r>
    <w:r>
      <w:rPr>
        <w:rStyle w:val="873"/>
        <w:sz w:val="24"/>
        <w:szCs w:val="24"/>
      </w:rPr>
      <w:t xml:space="preserve">2</w:t>
    </w:r>
    <w:r>
      <w:rPr>
        <w:rStyle w:val="873"/>
        <w:sz w:val="24"/>
        <w:szCs w:val="24"/>
      </w:rPr>
      <w:fldChar w:fldCharType="end"/>
    </w:r>
    <w:r>
      <w:rPr>
        <w:rStyle w:val="873"/>
        <w:sz w:val="24"/>
        <w:szCs w:val="24"/>
      </w:rPr>
    </w:r>
    <w:r>
      <w:rPr>
        <w:rStyle w:val="873"/>
        <w:sz w:val="24"/>
        <w:szCs w:val="24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8"/>
    <w:next w:val="868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69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8"/>
    <w:next w:val="868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69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69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69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6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9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9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9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9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68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68"/>
    <w:next w:val="86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69"/>
    <w:link w:val="716"/>
    <w:uiPriority w:val="10"/>
    <w:rPr>
      <w:sz w:val="48"/>
      <w:szCs w:val="48"/>
    </w:rPr>
  </w:style>
  <w:style w:type="paragraph" w:styleId="718">
    <w:name w:val="Subtitle"/>
    <w:basedOn w:val="868"/>
    <w:next w:val="868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69"/>
    <w:link w:val="718"/>
    <w:uiPriority w:val="11"/>
    <w:rPr>
      <w:sz w:val="24"/>
      <w:szCs w:val="24"/>
    </w:rPr>
  </w:style>
  <w:style w:type="paragraph" w:styleId="720">
    <w:name w:val="Quote"/>
    <w:basedOn w:val="868"/>
    <w:next w:val="868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8"/>
    <w:next w:val="868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9"/>
    <w:link w:val="877"/>
    <w:uiPriority w:val="99"/>
  </w:style>
  <w:style w:type="character" w:styleId="725">
    <w:name w:val="Footer Char"/>
    <w:basedOn w:val="869"/>
    <w:link w:val="878"/>
    <w:uiPriority w:val="99"/>
  </w:style>
  <w:style w:type="paragraph" w:styleId="726">
    <w:name w:val="Caption"/>
    <w:basedOn w:val="868"/>
    <w:next w:val="868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69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Footnote Text Char"/>
    <w:link w:val="876"/>
    <w:uiPriority w:val="99"/>
    <w:rPr>
      <w:sz w:val="18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69" w:default="1">
    <w:name w:val="Default Paragraph Font"/>
    <w:uiPriority w:val="1"/>
    <w:semiHidden/>
    <w:unhideWhenUsed/>
    <w:qFormat/>
  </w:style>
  <w:style w:type="table" w:styleId="87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footnote reference"/>
    <w:basedOn w:val="869"/>
    <w:uiPriority w:val="0"/>
    <w:rPr>
      <w:vertAlign w:val="superscript"/>
    </w:rPr>
  </w:style>
  <w:style w:type="character" w:styleId="872">
    <w:name w:val="Hyperlink"/>
    <w:uiPriority w:val="0"/>
    <w:rPr>
      <w:color w:val="0000ff"/>
      <w:u w:val="single"/>
    </w:rPr>
  </w:style>
  <w:style w:type="character" w:styleId="873">
    <w:name w:val="page number"/>
    <w:basedOn w:val="869"/>
    <w:uiPriority w:val="0"/>
  </w:style>
  <w:style w:type="paragraph" w:styleId="874">
    <w:name w:val="Balloon Text"/>
    <w:basedOn w:val="868"/>
    <w:uiPriority w:val="0"/>
    <w:semiHidden/>
    <w:rPr>
      <w:rFonts w:ascii="Tahoma" w:hAnsi="Tahoma" w:cs="Tahoma"/>
      <w:sz w:val="16"/>
      <w:szCs w:val="16"/>
    </w:rPr>
  </w:style>
  <w:style w:type="paragraph" w:styleId="875">
    <w:name w:val="Body Text Indent 3"/>
    <w:basedOn w:val="868"/>
    <w:uiPriority w:val="0"/>
    <w:pPr>
      <w:jc w:val="center"/>
    </w:pPr>
    <w:rPr>
      <w:sz w:val="24"/>
    </w:rPr>
  </w:style>
  <w:style w:type="paragraph" w:styleId="876">
    <w:name w:val="footnote text"/>
    <w:basedOn w:val="868"/>
    <w:link w:val="883"/>
    <w:uiPriority w:val="0"/>
  </w:style>
  <w:style w:type="paragraph" w:styleId="877">
    <w:name w:val="Header"/>
    <w:basedOn w:val="868"/>
    <w:uiPriority w:val="0"/>
    <w:pPr>
      <w:tabs>
        <w:tab w:val="center" w:pos="4677" w:leader="none"/>
        <w:tab w:val="right" w:pos="9355" w:leader="none"/>
      </w:tabs>
    </w:pPr>
  </w:style>
  <w:style w:type="paragraph" w:styleId="878">
    <w:name w:val="Footer"/>
    <w:basedOn w:val="868"/>
    <w:uiPriority w:val="0"/>
    <w:pPr>
      <w:tabs>
        <w:tab w:val="center" w:pos="4677" w:leader="none"/>
        <w:tab w:val="right" w:pos="9355" w:leader="none"/>
      </w:tabs>
    </w:pPr>
  </w:style>
  <w:style w:type="table" w:styleId="879">
    <w:name w:val="Table Grid"/>
    <w:basedOn w:val="87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0" w:customStyle="1">
    <w:name w:val="ConsPlusNormal"/>
    <w:uiPriority w:val="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1" w:customStyle="1">
    <w:name w:val="ConsPlusTitle"/>
    <w:uiPriority w:val="0"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8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83" w:customStyle="1">
    <w:name w:val="Текст сноски Знак"/>
    <w:basedOn w:val="869"/>
    <w:link w:val="876"/>
    <w:uiPriority w:val="0"/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WareZ Provider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BraginVV</cp:lastModifiedBy>
  <cp:revision>8</cp:revision>
  <dcterms:created xsi:type="dcterms:W3CDTF">2020-12-14T06:19:00Z</dcterms:created>
  <dcterms:modified xsi:type="dcterms:W3CDTF">2026-03-05T09:50:10Z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9F5EF44052184A4882B30814BF9318FB_13</vt:lpwstr>
  </property>
</Properties>
</file>