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0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</w:t>
      </w:r>
      <w:r/>
    </w:p>
    <w:p>
      <w:pPr>
        <w:pStyle w:val="8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0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50"/>
        <w:jc w:val="right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b/>
        </w:rPr>
      </w:r>
      <w:r>
        <w:rPr>
          <w:b/>
        </w:rPr>
      </w:r>
    </w:p>
    <w:p>
      <w:pPr>
        <w:pStyle w:val="851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0"/>
      </w:pPr>
      <w:r>
        <w:rPr>
          <w:b/>
        </w:rPr>
        <w:t xml:space="preserve">                                                                       </w:t>
        <w:tab/>
        <w:tab/>
        <w:tab/>
        <w:tab/>
        <w:tab/>
        <w:tab/>
      </w:r>
      <w:r/>
    </w:p>
    <w:p>
      <w:pPr>
        <w:pStyle w:val="851"/>
        <w:jc w:val="left"/>
      </w:pPr>
      <w:r>
        <w:t xml:space="preserve">                                               </w:t>
      </w:r>
      <w:r>
        <w:t xml:space="preserve">ПОСТАНОВЛЕНИЕ</w:t>
      </w:r>
      <w:r>
        <w:t xml:space="preserve">                             </w:t>
      </w:r>
      <w:r/>
    </w:p>
    <w:p>
      <w:pPr>
        <w:pStyle w:val="850"/>
      </w:pPr>
      <w:r/>
      <w:r/>
    </w:p>
    <w:p>
      <w:pPr>
        <w:pStyle w:val="850"/>
      </w:pPr>
      <w:r/>
      <w:r/>
    </w:p>
    <w:p>
      <w:pPr>
        <w:pStyle w:val="857"/>
      </w:pPr>
      <w:r/>
      <w:r/>
    </w:p>
    <w:p>
      <w:pPr>
        <w:pStyle w:val="857"/>
        <w:jc w:val="both"/>
      </w:pPr>
      <w:r>
        <w:t xml:space="preserve"> </w:t>
      </w:r>
      <w:r>
        <w:t xml:space="preserve">от   марта</w:t>
      </w:r>
      <w:r>
        <w:t xml:space="preserve"> 2026</w:t>
      </w:r>
      <w:r>
        <w:t xml:space="preserve"> года</w:t>
      </w:r>
      <w:r>
        <w:t xml:space="preserve">                                                          </w:t>
      </w:r>
      <w:r>
        <w:t xml:space="preserve">  </w:t>
      </w:r>
      <w:r>
        <w:t xml:space="preserve">       </w:t>
      </w:r>
      <w:r>
        <w:t xml:space="preserve">                 </w:t>
      </w:r>
      <w:r>
        <w:t xml:space="preserve">   </w:t>
      </w:r>
      <w:r>
        <w:t xml:space="preserve">               </w:t>
      </w:r>
      <w:r>
        <w:t xml:space="preserve"> </w:t>
      </w:r>
      <w:r>
        <w:t xml:space="preserve">№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pStyle w:val="857"/>
        <w:jc w:val="both"/>
      </w:pPr>
      <w:r/>
      <w:r/>
    </w:p>
    <w:p>
      <w:pPr>
        <w:pStyle w:val="857"/>
        <w:jc w:val="left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57"/>
        <w:rPr>
          <w:b/>
          <w:szCs w:val="24"/>
        </w:rPr>
      </w:pPr>
      <w:r>
        <w:rPr>
          <w:b/>
        </w:rPr>
        <w:t xml:space="preserve">Об установлении размера родительской платы за путевку </w:t>
      </w:r>
      <w:r>
        <w:rPr>
          <w:b/>
        </w:rPr>
        <w:t xml:space="preserve">в</w:t>
      </w:r>
      <w:r>
        <w:rPr>
          <w:b/>
        </w:rPr>
        <w:t xml:space="preserve"> лагерь</w:t>
      </w:r>
      <w:r>
        <w:rPr>
          <w:b/>
        </w:rPr>
        <w:t xml:space="preserve"> </w:t>
      </w:r>
      <w:r>
        <w:rPr>
          <w:b/>
        </w:rPr>
        <w:t xml:space="preserve">труда и отдыха </w:t>
      </w:r>
      <w:r>
        <w:rPr>
          <w:b/>
        </w:rPr>
        <w:t xml:space="preserve">с дневным пребыванием</w:t>
      </w:r>
      <w:r>
        <w:rPr>
          <w:b/>
        </w:rPr>
        <w:t xml:space="preserve"> детей</w:t>
      </w:r>
      <w:r>
        <w:rPr>
          <w:b/>
        </w:rPr>
        <w:t xml:space="preserve"> на базе </w:t>
      </w:r>
      <w:r>
        <w:rPr>
          <w:b/>
          <w:szCs w:val="24"/>
        </w:rPr>
        <w:t xml:space="preserve">муниципального бюджетного учреждения</w:t>
      </w:r>
      <w:r>
        <w:rPr>
          <w:b/>
          <w:szCs w:val="24"/>
        </w:rPr>
        <w:t xml:space="preserve"> Белоярского района</w:t>
      </w:r>
      <w:r>
        <w:rPr>
          <w:b/>
          <w:szCs w:val="24"/>
        </w:rPr>
        <w:t xml:space="preserve"> «Многофункциональный молодежный центр «Спутник»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57"/>
      </w:pPr>
      <w:r/>
      <w:r/>
    </w:p>
    <w:p>
      <w:pPr>
        <w:pStyle w:val="857"/>
        <w:jc w:val="left"/>
      </w:pPr>
      <w:r/>
      <w:r/>
    </w:p>
    <w:p>
      <w:pPr>
        <w:pStyle w:val="857"/>
        <w:ind w:firstLine="708"/>
        <w:jc w:val="both"/>
        <w:rPr>
          <w:szCs w:val="24"/>
        </w:rPr>
      </w:pPr>
      <w:r>
        <w:t xml:space="preserve">Во исполнение </w:t>
      </w:r>
      <w:r>
        <w:t xml:space="preserve">Федерального закона от 6 октября 2003 года № 131-ФЗ «Об общих принципах организации местного самоупра</w:t>
      </w:r>
      <w:r>
        <w:t xml:space="preserve">вления в Российской Федерации»</w:t>
      </w:r>
      <w:r>
        <w:t xml:space="preserve">, </w:t>
      </w:r>
      <w:r>
        <w:t xml:space="preserve">в </w:t>
      </w:r>
      <w:r>
        <w:t xml:space="preserve">целях организации </w:t>
      </w:r>
      <w:r>
        <w:t xml:space="preserve">отдыха и оздоровления </w:t>
      </w:r>
      <w:r>
        <w:t xml:space="preserve">детей, проживающих в Белоярском районе</w:t>
      </w:r>
      <w:r>
        <w:t xml:space="preserve">,</w:t>
      </w:r>
      <w:r>
        <w:t xml:space="preserve"> в лагер</w:t>
      </w:r>
      <w:r>
        <w:t xml:space="preserve">е труда и отдыха</w:t>
      </w:r>
      <w:r>
        <w:t xml:space="preserve"> с дневным пребыванием детей</w:t>
      </w:r>
      <w:r>
        <w:t xml:space="preserve"> </w:t>
      </w:r>
      <w:r>
        <w:t xml:space="preserve">на базе </w:t>
      </w:r>
      <w:r>
        <w:rPr>
          <w:szCs w:val="24"/>
        </w:rPr>
        <w:t xml:space="preserve">муниципального бюджетного учреждения</w:t>
      </w:r>
      <w:r>
        <w:rPr>
          <w:szCs w:val="24"/>
        </w:rPr>
        <w:t xml:space="preserve"> Белоярского района</w:t>
      </w:r>
      <w:r>
        <w:rPr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Многофункциональный молодежный</w:t>
      </w:r>
      <w:r>
        <w:rPr>
          <w:szCs w:val="24"/>
        </w:rPr>
        <w:t xml:space="preserve"> центр «Спутник»</w:t>
      </w:r>
      <w:r>
        <w:rPr>
          <w:szCs w:val="24"/>
        </w:rPr>
        <w:t xml:space="preserve">,</w:t>
      </w:r>
      <w:r>
        <w:rPr>
          <w:szCs w:val="24"/>
        </w:rPr>
        <w:t xml:space="preserve"> </w:t>
      </w:r>
      <w:r>
        <w:rPr>
          <w:szCs w:val="24"/>
        </w:rPr>
        <w:t xml:space="preserve">п о с т а н о в л я ю:</w:t>
      </w:r>
      <w:r>
        <w:rPr>
          <w:szCs w:val="24"/>
        </w:rPr>
      </w:r>
      <w:r>
        <w:rPr>
          <w:szCs w:val="24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Установить родительскую плату за путевку </w:t>
      </w:r>
      <w:r>
        <w:rPr>
          <w:rFonts w:ascii="Times New Roman" w:hAnsi="Times New Roman" w:cs="Times New Roman"/>
          <w:sz w:val="24"/>
          <w:szCs w:val="24"/>
        </w:rPr>
        <w:t xml:space="preserve">в лагерь</w:t>
      </w:r>
      <w:r>
        <w:rPr>
          <w:rFonts w:ascii="Times New Roman" w:hAnsi="Times New Roman" w:cs="Times New Roman"/>
          <w:sz w:val="24"/>
          <w:szCs w:val="24"/>
        </w:rPr>
        <w:t xml:space="preserve"> труда и отдыха с дневным</w:t>
      </w:r>
      <w:r>
        <w:rPr>
          <w:rFonts w:ascii="Times New Roman" w:hAnsi="Times New Roman" w:cs="Times New Roman"/>
          <w:sz w:val="24"/>
          <w:szCs w:val="24"/>
        </w:rPr>
        <w:t xml:space="preserve">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базе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бюджетного учреждения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Многофункциональный молодежный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центр «Спутник»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2521</w:t>
      </w:r>
      <w:r>
        <w:rPr>
          <w:rFonts w:ascii="Times New Roman" w:hAnsi="Times New Roman" w:cs="Times New Roman"/>
          <w:sz w:val="24"/>
          <w:szCs w:val="24"/>
        </w:rPr>
        <w:t xml:space="preserve"> (две тысячи </w:t>
      </w:r>
      <w:r>
        <w:rPr>
          <w:rFonts w:ascii="Times New Roman" w:hAnsi="Times New Roman" w:cs="Times New Roman"/>
          <w:sz w:val="24"/>
          <w:szCs w:val="24"/>
        </w:rPr>
        <w:t xml:space="preserve">пятьсот двадцать один)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рубль, 00 копеек за 21 день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существлять реализацию путевок в лагерь труда и отдыха с дневным пребыванием детей на базе муниципального бюджетного учреждения Белоярского района «Многофункциональный молодежный центр «Спутник» бесплатно детям участников специальной военной операции (не б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лее 30% бесплатных путевок от общего количества мест в лагере) при предоставлении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Херсонской области, выдаваемой участнику специальной военной операции либо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нской области, выдаваемой члену семьи участника специальной военной операции, по форме, установленной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7"/>
        <w:ind w:firstLine="708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утратившими силу постановления админ</w:t>
      </w:r>
      <w:r>
        <w:rPr>
          <w:rFonts w:ascii="Times New Roman" w:hAnsi="Times New Roman" w:cs="Times New Roman"/>
          <w:sz w:val="24"/>
          <w:szCs w:val="24"/>
        </w:rPr>
        <w:t xml:space="preserve">истрации Белоярского района от 3</w:t>
      </w:r>
      <w:r>
        <w:rPr>
          <w:rFonts w:ascii="Times New Roman" w:hAnsi="Times New Roman" w:cs="Times New Roman"/>
          <w:sz w:val="24"/>
          <w:szCs w:val="24"/>
        </w:rPr>
        <w:t xml:space="preserve"> мая 2023 года № 279 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размера родительской платы за путевку в лагерь труда и отдыха с дневным пребыванием детей на базе муниципального бюджетного учреждения Белоярского района «Многофункциональный молодежный центр «Спутник» в летний период</w:t>
      </w:r>
      <w:r>
        <w:rPr>
          <w:rFonts w:ascii="Times New Roman" w:hAnsi="Times New Roman" w:cs="Times New Roman"/>
          <w:sz w:val="24"/>
          <w:szCs w:val="24"/>
        </w:rPr>
        <w:t xml:space="preserve">», от 30 мая 2023 года № 346 «</w:t>
      </w:r>
      <w:r>
        <w:rPr>
          <w:b w:val="0"/>
          <w:bCs w:val="0"/>
        </w:rPr>
        <w:t xml:space="preserve">О внесении изменений в отдельные постановления администрации </w:t>
      </w:r>
      <w:r>
        <w:rPr>
          <w:b w:val="0"/>
          <w:bCs w:val="0"/>
        </w:rPr>
        <w:t xml:space="preserve"> Белоярского района», </w:t>
      </w:r>
      <w:r>
        <w:rPr>
          <w:rFonts w:ascii="Times New Roman" w:hAnsi="Times New Roman" w:cs="Times New Roman"/>
          <w:sz w:val="24"/>
          <w:szCs w:val="24"/>
        </w:rPr>
        <w:t xml:space="preserve">от 10 апреля 2024 года        № 284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 внесении изменений в постановление администрации Белоярского района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 3 мая 2023 года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№ 279», от 25 ноября 2025 года № 784 «</w:t>
      </w:r>
      <w:r>
        <w:rPr>
          <w:b w:val="0"/>
          <w:bCs w:val="0"/>
        </w:rPr>
        <w:t xml:space="preserve">О внесении изменений в отдельные постановления администрации </w:t>
      </w:r>
      <w:r>
        <w:rPr>
          <w:b w:val="0"/>
          <w:bCs w:val="0"/>
        </w:rPr>
        <w:t xml:space="preserve"> Белоярского района»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/>
        </w:rPr>
      </w:r>
    </w:p>
    <w:p>
      <w:pPr>
        <w:pStyle w:val="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8"/>
        <w:jc w:val="both"/>
      </w:pPr>
      <w:r>
        <w:t xml:space="preserve">4</w:t>
      </w:r>
      <w:r>
        <w:t xml:space="preserve">. Настоящее постановление вступает в силу после его официального опубликования.</w:t>
      </w:r>
      <w:r/>
    </w:p>
    <w:p>
      <w:pPr>
        <w:pStyle w:val="857"/>
        <w:ind w:firstLine="708"/>
        <w:jc w:val="both"/>
      </w:pPr>
      <w:r>
        <w:t xml:space="preserve">5</w:t>
      </w:r>
      <w:r>
        <w:t xml:space="preserve">. Контроль за выполнением постановления возложить на заместителя главы Белоярского района по социальным вопросам </w:t>
      </w:r>
      <w:r>
        <w:t xml:space="preserve">Сокол Н.В.</w:t>
      </w:r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>
        <w:t xml:space="preserve">Глава</w:t>
      </w:r>
      <w:r>
        <w:t xml:space="preserve"> </w:t>
      </w:r>
      <w:r>
        <w:t xml:space="preserve">Белоярского района                                                                              </w:t>
      </w:r>
      <w:r>
        <w:t xml:space="preserve">    </w:t>
      </w:r>
      <w:r>
        <w:t xml:space="preserve">  </w:t>
      </w:r>
      <w:r>
        <w:t xml:space="preserve">  </w:t>
      </w:r>
      <w:r>
        <w:t xml:space="preserve">С.П.</w:t>
      </w:r>
      <w:r>
        <w:t xml:space="preserve">Маненков</w:t>
      </w:r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b/>
      <w:sz w:val="28"/>
    </w:rPr>
  </w:style>
  <w:style w:type="paragraph" w:styleId="852">
    <w:name w:val="Заголовок 2"/>
    <w:basedOn w:val="850"/>
    <w:next w:val="850"/>
    <w:link w:val="8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53">
    <w:name w:val="Заголовок 3"/>
    <w:basedOn w:val="850"/>
    <w:next w:val="850"/>
    <w:link w:val="850"/>
    <w:qFormat/>
    <w:pPr>
      <w:jc w:val="center"/>
      <w:keepNext/>
      <w:outlineLvl w:val="2"/>
    </w:pPr>
    <w:rPr>
      <w:sz w:val="28"/>
    </w:rPr>
  </w:style>
  <w:style w:type="character" w:styleId="854">
    <w:name w:val="Основной шрифт абзаца"/>
    <w:next w:val="854"/>
    <w:link w:val="850"/>
    <w:semiHidden/>
  </w:style>
  <w:style w:type="table" w:styleId="855">
    <w:name w:val="Обычная таблица"/>
    <w:next w:val="855"/>
    <w:link w:val="850"/>
    <w:semiHidden/>
    <w:tblPr/>
  </w:style>
  <w:style w:type="numbering" w:styleId="856">
    <w:name w:val="Нет списка"/>
    <w:next w:val="856"/>
    <w:link w:val="850"/>
    <w:semiHidden/>
  </w:style>
  <w:style w:type="paragraph" w:styleId="857">
    <w:name w:val="Основной текст с отступом 3"/>
    <w:basedOn w:val="850"/>
    <w:next w:val="857"/>
    <w:link w:val="850"/>
    <w:pPr>
      <w:jc w:val="center"/>
    </w:pPr>
    <w:rPr>
      <w:sz w:val="24"/>
    </w:rPr>
  </w:style>
  <w:style w:type="table" w:styleId="858">
    <w:name w:val="Сетка таблицы"/>
    <w:basedOn w:val="855"/>
    <w:next w:val="858"/>
    <w:link w:val="850"/>
    <w:tblPr/>
  </w:style>
  <w:style w:type="paragraph" w:styleId="859">
    <w:name w:val="Основной текст 2"/>
    <w:basedOn w:val="850"/>
    <w:next w:val="859"/>
    <w:link w:val="850"/>
    <w:pPr>
      <w:spacing w:after="120" w:line="480" w:lineRule="auto"/>
    </w:pPr>
    <w:rPr>
      <w:sz w:val="24"/>
      <w:szCs w:val="24"/>
    </w:rPr>
  </w:style>
  <w:style w:type="paragraph" w:styleId="860">
    <w:name w:val="ConsPlusNormal"/>
    <w:next w:val="860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1">
    <w:name w:val="ConsPlusNonformat"/>
    <w:next w:val="861"/>
    <w:link w:val="85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62">
    <w:name w:val="Основной текст"/>
    <w:basedOn w:val="850"/>
    <w:next w:val="862"/>
    <w:link w:val="850"/>
    <w:pPr>
      <w:spacing w:after="120"/>
    </w:pPr>
  </w:style>
  <w:style w:type="paragraph" w:styleId="863">
    <w:name w:val="ConsPlusTitle"/>
    <w:next w:val="863"/>
    <w:link w:val="85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4">
    <w:name w:val="Основной текст с отступом"/>
    <w:basedOn w:val="850"/>
    <w:next w:val="864"/>
    <w:link w:val="850"/>
    <w:pPr>
      <w:ind w:left="283"/>
      <w:spacing w:after="120"/>
    </w:pPr>
  </w:style>
  <w:style w:type="paragraph" w:styleId="865">
    <w:name w:val="Текст документа"/>
    <w:basedOn w:val="850"/>
    <w:next w:val="865"/>
    <w:link w:val="850"/>
    <w:pPr>
      <w:ind w:firstLine="567"/>
    </w:pPr>
    <w:rPr>
      <w:sz w:val="26"/>
      <w:szCs w:val="24"/>
    </w:rPr>
  </w:style>
  <w:style w:type="paragraph" w:styleId="866">
    <w:name w:val="Текст выноски"/>
    <w:basedOn w:val="850"/>
    <w:next w:val="866"/>
    <w:link w:val="850"/>
    <w:semiHidden/>
    <w:rPr>
      <w:rFonts w:ascii="Tahoma" w:hAnsi="Tahoma" w:cs="Tahoma"/>
      <w:sz w:val="16"/>
      <w:szCs w:val="16"/>
    </w:rPr>
  </w:style>
  <w:style w:type="paragraph" w:styleId="867">
    <w:name w:val=" Знак1 Знак Знак Знак Знак Знак Знак Знак Знак1 Char"/>
    <w:basedOn w:val="850"/>
    <w:next w:val="867"/>
    <w:link w:val="850"/>
    <w:pPr>
      <w:spacing w:after="160" w:line="240" w:lineRule="exact"/>
    </w:pPr>
    <w:rPr>
      <w:rFonts w:ascii="Verdana" w:hAnsi="Verdana"/>
      <w:lang w:val="en-US" w:eastAsia="en-US"/>
    </w:rPr>
  </w:style>
  <w:style w:type="paragraph" w:styleId="868">
    <w:name w:val="ConsPlusCell"/>
    <w:next w:val="868"/>
    <w:link w:val="850"/>
    <w:pPr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Знак"/>
    <w:basedOn w:val="850"/>
    <w:next w:val="869"/>
    <w:link w:val="850"/>
    <w:pPr>
      <w:spacing w:after="160" w:line="240" w:lineRule="exact"/>
    </w:pPr>
    <w:rPr>
      <w:rFonts w:ascii="Verdana" w:hAnsi="Verdana"/>
      <w:b/>
      <w:lang w:val="en-US" w:eastAsia="en-US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KaveckayaSR</cp:lastModifiedBy>
  <cp:revision>15</cp:revision>
  <dcterms:created xsi:type="dcterms:W3CDTF">2019-03-27T09:09:00Z</dcterms:created>
  <dcterms:modified xsi:type="dcterms:W3CDTF">2026-03-05T07:19:10Z</dcterms:modified>
  <cp:version>1048576</cp:version>
</cp:coreProperties>
</file>