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shd w:val="clear" w:color="auto" w:fill="FFFFFF"/>
        <w:spacing w:before="0" w:beforeAutospacing="0" w:after="0" w:afterAutospacing="0"/>
        <w:jc w:val="center"/>
        <w:rPr>
          <w:rFonts w:hint="default"/>
          <w:b/>
          <w:sz w:val="28"/>
          <w:szCs w:val="28"/>
          <w:lang w:val="ru-RU"/>
        </w:rPr>
      </w:pPr>
      <w:r>
        <w:rPr>
          <w:rFonts w:hint="default"/>
          <w:b/>
          <w:sz w:val="28"/>
          <w:szCs w:val="28"/>
          <w:lang w:val="ru-RU"/>
        </w:rPr>
        <w:drawing>
          <wp:inline distT="0" distB="0" distL="114300" distR="114300">
            <wp:extent cx="5939790" cy="5365750"/>
            <wp:effectExtent l="0" t="0" r="3810" b="6350"/>
            <wp:docPr id="2" name="Изображение 2" descr="Новые правила использования зем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Новые правила использования земли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36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uppressAutoHyphens/>
        <w:bidi w:val="0"/>
        <w:spacing w:before="0" w:after="0" w:line="276" w:lineRule="auto"/>
        <w:ind w:left="0" w:right="0" w:firstLine="0"/>
        <w:jc w:val="left"/>
        <w:rPr>
          <w:rFonts w:ascii="Times New Roman" w:hAnsi="Times New Roman" w:cs="Times New Roman"/>
          <w:b/>
          <w:bCs/>
        </w:rPr>
      </w:pPr>
    </w:p>
    <w:p>
      <w:pPr>
        <w:widowControl/>
        <w:suppressAutoHyphens/>
        <w:bidi w:val="0"/>
        <w:spacing w:before="0" w:after="0" w:line="276" w:lineRule="auto"/>
        <w:ind w:left="0" w:right="0" w:firstLine="0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Управление Росреес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тра по ХМАО — Югре напоминает о новых правилах использования земли</w:t>
      </w:r>
    </w:p>
    <w:p>
      <w:pPr>
        <w:widowControl/>
        <w:suppressAutoHyphens/>
        <w:bidi w:val="0"/>
        <w:spacing w:before="0" w:after="0" w:line="276" w:lineRule="auto"/>
        <w:ind w:left="0" w:right="0" w:firstLine="850"/>
        <w:jc w:val="center"/>
        <w:rPr>
          <w:b/>
          <w:bCs/>
        </w:rPr>
      </w:pPr>
    </w:p>
    <w:p>
      <w:pPr>
        <w:widowControl/>
        <w:suppressAutoHyphens/>
        <w:bidi w:val="0"/>
        <w:spacing w:before="0" w:after="0" w:line="276" w:lineRule="auto"/>
        <w:ind w:left="0" w:right="0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 сентября 2025 года вступило в силу Постановление Правительства Российской Федерации от 29.05.2025 № 826 "Об установлении признаков неиспользования земельных участков из состава земель населенных пунктов, садовых земельных участков и огородных земельных участков".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i/>
          <w:iCs/>
          <w:sz w:val="28"/>
          <w:szCs w:val="28"/>
        </w:rPr>
        <w:t>«</w:t>
      </w:r>
      <w:r>
        <w:rPr>
          <w:rFonts w:ascii="Times New Roman" w:hAnsi="Times New Roman" w:cs="Times New Roman"/>
          <w:b w:val="0"/>
          <w:i/>
          <w:iCs/>
          <w:caps w:val="0"/>
          <w:smallCaps w:val="0"/>
          <w:color w:val="000000"/>
          <w:spacing w:val="0"/>
          <w:sz w:val="28"/>
          <w:szCs w:val="28"/>
        </w:rPr>
        <w:t>Постановление вводит чёткие критерии признания земельных участков неиспользуемыми. Речь идёт о землях в границах населённых пунктов, а также садовых и огородных участках. Цель — чтобы земля использовалась с пользой и не приходила в упадок. Для каждого типа участка определены свои признаки неиспользования — это помогает оценить, как владелец обращается с землёй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 xml:space="preserve">- пояснил Вячеслав Санников руководитель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Управления Росреестра по ХМАО — Югре.</w:t>
      </w:r>
    </w:p>
    <w:p>
      <w:pPr>
        <w:widowControl/>
        <w:suppressAutoHyphens/>
        <w:bidi w:val="0"/>
        <w:spacing w:before="0" w:after="0" w:line="276" w:lineRule="auto"/>
        <w:ind w:left="0" w:right="0" w:firstLine="850"/>
        <w:jc w:val="both"/>
        <w:rPr>
          <w:b/>
          <w:bCs/>
        </w:rPr>
      </w:pPr>
      <w:r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Для земельных участков в населенных пунктах, предназначенных для строительства:</w:t>
      </w:r>
    </w:p>
    <w:p>
      <w:pPr>
        <w:widowControl/>
        <w:suppressAutoHyphens/>
        <w:bidi w:val="0"/>
        <w:spacing w:before="0" w:after="0" w:line="276" w:lineRule="auto"/>
        <w:ind w:left="0" w:right="0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Основной критерий – отсутствие прогресса в строительстве. Если на участке, предназначенном для строительства, в течение 5 лет не</w:t>
      </w:r>
      <w:r>
        <w:rPr>
          <w:rFonts w:ascii="Times New Roman" w:hAnsi="Times New Roman" w:cs="Times New Roman"/>
          <w:sz w:val="28"/>
          <w:szCs w:val="28"/>
        </w:rPr>
        <w:t xml:space="preserve"> возведено и не оформлено здание или сооружение, он может быть признан неиспользуемым. Исключение составляют участки, предназначенные для индивидуального жилищного строительства (ИЖС). Для них этот срок увеличен до 7 лет.</w:t>
      </w:r>
    </w:p>
    <w:p>
      <w:pPr>
        <w:widowControl/>
        <w:suppressAutoHyphens/>
        <w:bidi w:val="0"/>
        <w:spacing w:before="0" w:after="0" w:line="276" w:lineRule="auto"/>
        <w:ind w:left="0" w:right="0" w:firstLine="850"/>
        <w:jc w:val="both"/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Для садовых, огородных, приусадебных земельных участков и земельных участков, не предназначенных для строительства и эксплуатации зданий, сооружений критерии более разнообразны и направлены на оценку состояния участка и его соответствия сельскохозяйственному или иному целевому назначению:</w:t>
      </w:r>
    </w:p>
    <w:p>
      <w:pPr>
        <w:widowControl/>
        <w:numPr>
          <w:ilvl w:val="0"/>
          <w:numId w:val="1"/>
        </w:numPr>
        <w:suppressAutoHyphens/>
        <w:bidi w:val="0"/>
        <w:spacing w:before="0"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Отсутствие построенного и оформленного здания, сооружения в течение 5 лет, за исключением предназначенных для индивидуального жилищного строительства, для которых такой срок - 7 лет. </w:t>
      </w:r>
    </w:p>
    <w:p>
      <w:pPr>
        <w:widowControl/>
        <w:numPr>
          <w:ilvl w:val="0"/>
          <w:numId w:val="1"/>
        </w:numPr>
        <w:suppressAutoHyphens/>
        <w:bidi w:val="0"/>
        <w:spacing w:before="0"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Зарастание более 50% площади земельного участка сорными растениями высотой более 1 метра и (или) деревьями и кустарниками (за исключением деревьев и иных насаждений, являющихся элементами благоустройства и озеленения) при условии невыполнения работ по освобождению от них земельного участка в течение года. Если участок зарос бурьяном и кустарником, а владелец не принимает мер по его очистке в течение года, он рискует признанием участка неиспользуемым.</w:t>
      </w:r>
    </w:p>
    <w:p>
      <w:pPr>
        <w:widowControl/>
        <w:numPr>
          <w:ilvl w:val="0"/>
          <w:numId w:val="1"/>
        </w:numPr>
        <w:suppressAutoHyphens/>
        <w:bidi w:val="0"/>
        <w:spacing w:before="0"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зданий и строений с разрушенными крышей, стенами, без окон или стекол на окнах. Этот пункт направлен на предотвращение превращения участков в заброшенные территории с ветхими постройками.</w:t>
      </w:r>
    </w:p>
    <w:p>
      <w:pPr>
        <w:widowControl/>
        <w:suppressAutoHyphens/>
        <w:bidi w:val="0"/>
        <w:spacing w:before="0" w:after="0" w:line="276" w:lineRule="auto"/>
        <w:jc w:val="both"/>
        <w:rPr>
          <w:b/>
          <w:bCs/>
        </w:rPr>
      </w:pPr>
    </w:p>
    <w:p>
      <w:pPr>
        <w:widowControl/>
        <w:suppressAutoHyphens/>
        <w:bidi w:val="0"/>
        <w:spacing w:before="0" w:after="0" w:line="276" w:lineRule="auto"/>
        <w:ind w:left="0" w:right="0" w:firstLine="850"/>
        <w:jc w:val="both"/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Общие признаки неиспользования для всех земельных участков в границах населенных пунктов, садовых и огородных участков:</w:t>
      </w:r>
    </w:p>
    <w:p>
      <w:pPr>
        <w:widowControl/>
        <w:suppressAutoHyphens/>
        <w:bidi w:val="0"/>
        <w:spacing w:before="0" w:after="0" w:line="276" w:lineRule="auto"/>
        <w:ind w:left="0" w:right="0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Независимо от целевого назначения, любой земельный участок может быть признан неиспользуемым, если более 50% площади земельного участка захламлено предметами, не связанными с его использованием по целевому назначению, или загрязнена отходами производства и потребления при условии невыполнения работ по освобождению земельного участка в течение года. Это означает, что складирование мусора, строительных отходов или других посторонних предметов на участке может привести к его признанию неиспользуемым, если владелец не убирает их в течение года.</w:t>
      </w:r>
    </w:p>
    <w:p>
      <w:pPr>
        <w:widowControl/>
        <w:suppressAutoHyphens/>
        <w:bidi w:val="0"/>
        <w:spacing w:before="0" w:after="0" w:line="276" w:lineRule="auto"/>
        <w:ind w:left="0" w:right="0" w:firstLine="85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widowControl/>
        <w:suppressAutoHyphens/>
        <w:bidi w:val="0"/>
        <w:spacing w:before="0" w:after="0" w:line="276" w:lineRule="auto"/>
        <w:ind w:left="0" w:right="0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данного постановления подчеркивает стремление государства к более рациональному и эффективному использованию земельных ресурсов. Владельцам земельных участков, подпадающих под действие Постановления №826, необходимо внимательно изучить его и принять соответствующие меры для предотвращения признания их участков неиспользуемыми. Это может включать в себя:</w:t>
      </w:r>
    </w:p>
    <w:p>
      <w:pPr>
        <w:widowControl/>
        <w:suppressAutoHyphens/>
        <w:bidi w:val="0"/>
        <w:spacing w:before="0" w:after="0" w:line="276" w:lineRule="auto"/>
        <w:ind w:left="0" w:right="0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Для участков под строительство</w:t>
      </w:r>
      <w:r>
        <w:rPr>
          <w:rFonts w:ascii="Times New Roman" w:hAnsi="Times New Roman" w:cs="Times New Roman"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начало строительства или оформление разрешительной документации в установленные сроки.</w:t>
      </w:r>
    </w:p>
    <w:p>
      <w:pPr>
        <w:widowControl/>
        <w:suppressAutoHyphens/>
        <w:bidi w:val="0"/>
        <w:spacing w:before="0" w:after="0" w:line="276" w:lineRule="auto"/>
        <w:ind w:left="0" w:right="0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Для садовых и огородных участков:</w:t>
      </w:r>
      <w:r>
        <w:rPr>
          <w:rFonts w:ascii="Times New Roman" w:hAnsi="Times New Roman" w:cs="Times New Roman"/>
          <w:sz w:val="28"/>
          <w:szCs w:val="28"/>
        </w:rPr>
        <w:t xml:space="preserve"> регулярное проведение работ по уходу за участком, включая борьбу с сорняками и кустарниками, а также поддержание построек в надлежащем состоянии.</w:t>
      </w:r>
    </w:p>
    <w:p>
      <w:pPr>
        <w:widowControl/>
        <w:suppressAutoHyphens/>
        <w:bidi w:val="0"/>
        <w:spacing w:before="0" w:after="0" w:line="276" w:lineRule="auto"/>
        <w:ind w:left="0" w:right="0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Для всех типов участков:</w:t>
      </w:r>
      <w:r>
        <w:rPr>
          <w:rFonts w:ascii="Times New Roman" w:hAnsi="Times New Roman" w:cs="Times New Roman"/>
          <w:sz w:val="28"/>
          <w:szCs w:val="28"/>
        </w:rPr>
        <w:t xml:space="preserve"> своевременное устранение захламления и загрязнений.</w:t>
      </w:r>
    </w:p>
    <w:p>
      <w:pPr>
        <w:widowControl/>
        <w:suppressAutoHyphens/>
        <w:bidi w:val="0"/>
        <w:spacing w:before="0" w:after="0" w:line="276" w:lineRule="auto"/>
        <w:ind w:left="0" w:right="0" w:firstLine="8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>
      <w:pPr>
        <w:widowControl/>
        <w:suppressAutoHyphens/>
        <w:bidi w:val="0"/>
        <w:spacing w:before="0" w:after="0" w:line="276" w:lineRule="auto"/>
        <w:ind w:left="0" w:right="0" w:firstLine="850"/>
        <w:jc w:val="both"/>
        <w:rPr>
          <w:rFonts w:ascii="Times New Roman" w:hAnsi="Times New Roman" w:cs="Times New Roman"/>
          <w:sz w:val="28"/>
          <w:szCs w:val="28"/>
        </w:rPr>
      </w:pPr>
    </w:p>
    <w:sectPr>
      <w:pgSz w:w="11906" w:h="16838"/>
      <w:pgMar w:top="1134" w:right="850" w:bottom="1134" w:left="1701" w:header="0" w:footer="0" w:gutter="0"/>
      <w:pgNumType w:fmt="decimal"/>
      <w:cols w:space="720" w:num="1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黑体">
    <w:altName w:val="SimSu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1"/>
    <w:family w:val="roman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OpenSymbol">
    <w:altName w:val="Segoe Print"/>
    <w:panose1 w:val="00000000000000000000"/>
    <w:charset w:val="01"/>
    <w:family w:val="auto"/>
    <w:pitch w:val="default"/>
    <w:sig w:usb0="00000000" w:usb1="00000000" w:usb2="00000000" w:usb3="00000000" w:csb0="00000000" w:csb1="00000000"/>
  </w:font>
  <w:font w:name="PT Astra Serif">
    <w:altName w:val="Segoe Print"/>
    <w:panose1 w:val="00000000000000000000"/>
    <w:charset w:val="01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Noto Sans Devanagar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bullet"/>
      <w:lvlText w:val="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</w:rPr>
    </w:lvl>
    <w:lvl w:ilvl="1" w:tentative="0">
      <w:start w:val="1"/>
      <w:numFmt w:val="bullet"/>
      <w:lvlText w:val="◦"/>
      <w:lvlJc w:val="left"/>
      <w:pPr>
        <w:tabs>
          <w:tab w:val="left" w:pos="1080"/>
        </w:tabs>
        <w:ind w:left="1080" w:hanging="360"/>
      </w:pPr>
      <w:rPr>
        <w:rFonts w:hint="default" w:ascii="OpenSymbol" w:hAnsi="OpenSymbol" w:cs="OpenSymbol"/>
      </w:rPr>
    </w:lvl>
    <w:lvl w:ilvl="2" w:tentative="0">
      <w:start w:val="1"/>
      <w:numFmt w:val="bullet"/>
      <w:lvlText w:val="▪"/>
      <w:lvlJc w:val="left"/>
      <w:pPr>
        <w:tabs>
          <w:tab w:val="left" w:pos="1440"/>
        </w:tabs>
        <w:ind w:left="1440" w:hanging="360"/>
      </w:pPr>
      <w:rPr>
        <w:rFonts w:hint="default" w:ascii="OpenSymbol" w:hAnsi="OpenSymbol" w:cs="OpenSymbol"/>
      </w:rPr>
    </w:lvl>
    <w:lvl w:ilvl="3" w:tentative="0">
      <w:start w:val="1"/>
      <w:numFmt w:val="bullet"/>
      <w:lvlText w:val=""/>
      <w:lvlJc w:val="left"/>
      <w:pPr>
        <w:tabs>
          <w:tab w:val="left" w:pos="1800"/>
        </w:tabs>
        <w:ind w:left="1800" w:hanging="360"/>
      </w:pPr>
      <w:rPr>
        <w:rFonts w:hint="default" w:ascii="Symbol" w:hAnsi="Symbol" w:cs="Symbol"/>
      </w:rPr>
    </w:lvl>
    <w:lvl w:ilvl="4" w:tentative="0">
      <w:start w:val="1"/>
      <w:numFmt w:val="bullet"/>
      <w:lvlText w:val="◦"/>
      <w:lvlJc w:val="left"/>
      <w:pPr>
        <w:tabs>
          <w:tab w:val="left" w:pos="2160"/>
        </w:tabs>
        <w:ind w:left="2160" w:hanging="360"/>
      </w:pPr>
      <w:rPr>
        <w:rFonts w:hint="default" w:ascii="OpenSymbol" w:hAnsi="OpenSymbol" w:cs="OpenSymbol"/>
      </w:rPr>
    </w:lvl>
    <w:lvl w:ilvl="5" w:tentative="0">
      <w:start w:val="1"/>
      <w:numFmt w:val="bullet"/>
      <w:lvlText w:val="▪"/>
      <w:lvlJc w:val="left"/>
      <w:pPr>
        <w:tabs>
          <w:tab w:val="left" w:pos="2520"/>
        </w:tabs>
        <w:ind w:left="2520" w:hanging="360"/>
      </w:pPr>
      <w:rPr>
        <w:rFonts w:hint="default" w:ascii="OpenSymbol" w:hAnsi="OpenSymbol" w:cs="OpenSymbol"/>
      </w:rPr>
    </w:lvl>
    <w:lvl w:ilvl="6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</w:rPr>
    </w:lvl>
    <w:lvl w:ilvl="7" w:tentative="0">
      <w:start w:val="1"/>
      <w:numFmt w:val="bullet"/>
      <w:lvlText w:val="◦"/>
      <w:lvlJc w:val="left"/>
      <w:pPr>
        <w:tabs>
          <w:tab w:val="left" w:pos="3240"/>
        </w:tabs>
        <w:ind w:left="3240" w:hanging="360"/>
      </w:pPr>
      <w:rPr>
        <w:rFonts w:hint="default" w:ascii="OpenSymbol" w:hAnsi="OpenSymbol" w:cs="OpenSymbol"/>
      </w:rPr>
    </w:lvl>
    <w:lvl w:ilvl="8" w:tentative="0">
      <w:start w:val="1"/>
      <w:numFmt w:val="bullet"/>
      <w:lvlText w:val="▪"/>
      <w:lvlJc w:val="left"/>
      <w:pPr>
        <w:tabs>
          <w:tab w:val="left" w:pos="3600"/>
        </w:tabs>
        <w:ind w:left="3600" w:hanging="360"/>
      </w:pPr>
      <w:rPr>
        <w:rFonts w:hint="default" w:ascii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708"/>
  <w:autoHyphenation/>
  <w:hyphenationZone w:val="360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62B7C8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widowControl/>
      <w:suppressAutoHyphens/>
      <w:bidi w:val="0"/>
      <w:spacing w:before="0" w:after="200" w:line="276" w:lineRule="auto"/>
      <w:jc w:val="left"/>
    </w:pPr>
    <w:rPr>
      <w:rFonts w:asciiTheme="minorHAnsi" w:hAnsiTheme="minorHAnsi" w:eastAsiaTheme="minorHAnsi" w:cstheme="minorBidi"/>
      <w:color w:val="auto"/>
      <w:kern w:val="0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qFormat/>
    <w:uiPriority w:val="9"/>
    <w:pPr>
      <w:spacing w:beforeAutospacing="1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qFormat/>
    <w:uiPriority w:val="0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6">
    <w:name w:val="Body Text"/>
    <w:basedOn w:val="1"/>
    <w:uiPriority w:val="0"/>
    <w:pPr>
      <w:spacing w:before="0" w:after="140" w:line="276" w:lineRule="auto"/>
    </w:pPr>
  </w:style>
  <w:style w:type="paragraph" w:styleId="7">
    <w:name w:val="List"/>
    <w:basedOn w:val="6"/>
    <w:uiPriority w:val="0"/>
    <w:rPr>
      <w:rFonts w:ascii="PT Astra Serif" w:hAnsi="PT Astra Serif" w:cs="Noto Sans Devanagari"/>
    </w:rPr>
  </w:style>
  <w:style w:type="paragraph" w:styleId="8">
    <w:name w:val="Normal (Web)"/>
    <w:basedOn w:val="1"/>
    <w:unhideWhenUsed/>
    <w:qFormat/>
    <w:uiPriority w:val="99"/>
    <w:pPr>
      <w:spacing w:beforeAutospacing="1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9">
    <w:name w:val="Заголовок 1 Знак"/>
    <w:basedOn w:val="3"/>
    <w:qFormat/>
    <w:uiPriority w:val="9"/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customStyle="1" w:styleId="10">
    <w:name w:val="Маркеры"/>
    <w:qFormat/>
    <w:uiPriority w:val="0"/>
    <w:rPr>
      <w:rFonts w:ascii="OpenSymbol" w:hAnsi="OpenSymbol" w:eastAsia="OpenSymbol" w:cs="OpenSymbol"/>
    </w:rPr>
  </w:style>
  <w:style w:type="paragraph" w:customStyle="1" w:styleId="11">
    <w:name w:val="Заголовок"/>
    <w:basedOn w:val="1"/>
    <w:next w:val="6"/>
    <w:qFormat/>
    <w:uiPriority w:val="0"/>
    <w:pPr>
      <w:keepNext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customStyle="1" w:styleId="12">
    <w:name w:val="Указатель1"/>
    <w:basedOn w:val="1"/>
    <w:qFormat/>
    <w:uiPriority w:val="0"/>
    <w:pPr>
      <w:suppressLineNumbers/>
    </w:pPr>
    <w:rPr>
      <w:rFonts w:ascii="PT Astra Serif" w:hAnsi="PT Astra Serif" w:cs="Noto Sans Devanagari"/>
    </w:rPr>
  </w:style>
  <w:style w:type="paragraph" w:styleId="13">
    <w:name w:val="List Paragraph"/>
    <w:basedOn w:val="1"/>
    <w:qFormat/>
    <w:uiPriority w:val="34"/>
    <w:pPr>
      <w:spacing w:before="0" w:after="200"/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484</Words>
  <Characters>3277</Characters>
  <Paragraphs>14</Paragraphs>
  <TotalTime>357</TotalTime>
  <ScaleCrop>false</ScaleCrop>
  <LinksUpToDate>false</LinksUpToDate>
  <CharactersWithSpaces>3750</CharactersWithSpaces>
  <Application>WPS Office_11.2.0.9984_F1E327BC-269C-435d-A152-05C5408002CA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2024-03-25T07:01:00Z</dcterms:created>
  <dc:creator>Белов Игорь Юрьевич</dc:creator>
  <cp:lastModifiedBy>TrofimovAV</cp:lastModifiedBy>
  <dcterms:modified xsi:type="dcterms:W3CDTF">2025-12-16T11:09:22Z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1049-11.2.0.9984</vt:lpwstr>
  </property>
</Properties>
</file>