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val="ru-RU"/>
        </w:rPr>
        <w:t>ЭПЭКОНОМИКИ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 xml:space="preserve"> 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val="ru-RU"/>
        </w:rPr>
        <w:t>ГРЫ ВЫПУСТИЛ ОБНОВЛЕННУЮ ВЕРСИЮ МЕТОДИЧЕСКИХ РЕКОМЕНДАЦИЙ ПО ПРОВЕДЕНИЮ ОЦЕНКИ РЕГУЛИРУЮЩЕГО ВОЗДЕЙСТВИЯ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В новой версии методических рекомендаций: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- предметная область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 xml:space="preserve">оценки регулирующего воздействия (далее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>ОРВ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>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 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 xml:space="preserve">оценки фактического воздействия (далее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>ОФВ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>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 приведена в соответствие установленной Законом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>№ 184-ФЗ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;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- внесены изменения в критерии отнесения проекта нормативного правового акта к определенной степени регулирующего воздействия; - внесены изменения в формы документов, подготавливаемых в рамках процедур ОРВ, ОФВ, и порядок их заполнения;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>- исключена обязательность проведения онлайн-трансляций публичных консультаций по проекту нормативного правового акта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 и нормативному правовому акту на портале проектов нормативных правовых актов.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/>
        <w:ind w:left="0" w:firstLine="708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t xml:space="preserve">Актуальная редакция методических рекомендаций и формы документов размещены на Портале проектов нормативных правовых актов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instrText xml:space="preserve"> HYPERLINK "https://regulation.admhmao.ru/Regulation/Materials/25"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https://regulation.admhmao.ru/Regulation/Materials/2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45454"/>
          <w:spacing w:val="0"/>
          <w:sz w:val="24"/>
          <w:szCs w:val="24"/>
          <w:shd w:val="clear" w:fill="FFFFFF"/>
          <w:lang w:val="ru-RU"/>
        </w:rPr>
        <w:t xml:space="preserve">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63F1"/>
    <w:rsid w:val="46E827EE"/>
    <w:rsid w:val="5A7B7F53"/>
    <w:rsid w:val="65B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2022-04-07T05:40:00Z</dcterms:created>
  <dc:creator>YagodkaYV</dc:creator>
  <cp:lastModifiedBy>YagodkaYV</cp:lastModifiedBy>
  <dcterms:modified xsi:type="dcterms:W3CDTF">2022-04-07T06:48:47Z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3EBFE118FFA346A89307D304F3EC2252</vt:lpwstr>
  </property>
</Properties>
</file>