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ind w:left="180" w:right="-289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0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  <w:r/>
    </w:p>
    <w:p>
      <w:pPr>
        <w:pStyle w:val="634"/>
        <w:ind w:left="180" w:right="-289"/>
        <w:jc w:val="center"/>
      </w:pPr>
      <w:r/>
      <w:r/>
    </w:p>
    <w:p>
      <w:pPr>
        <w:pStyle w:val="634"/>
        <w:ind w:left="180" w:right="-289"/>
        <w:jc w:val="center"/>
      </w:pPr>
      <w:r>
        <w:tab/>
        <w:tab/>
        <w:tab/>
        <w:tab/>
        <w:tab/>
      </w:r>
      <w:r/>
    </w:p>
    <w:p>
      <w:pPr>
        <w:pStyle w:val="642"/>
        <w:ind w:left="180" w:right="-289"/>
      </w:pPr>
      <w:r/>
      <w:r/>
    </w:p>
    <w:p>
      <w:pPr>
        <w:pStyle w:val="635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5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5"/>
        <w:ind w:left="180" w:right="-289"/>
        <w:jc w:val="left"/>
        <w:rPr>
          <w:sz w:val="22"/>
        </w:rPr>
      </w:pPr>
      <w:r>
        <w:rPr>
          <w:sz w:val="22"/>
        </w:rPr>
        <w:t xml:space="preserve">                                                           БЕЛОЯРСКИЙ РАЙОН                                              </w:t>
      </w:r>
      <w:r>
        <w:rPr>
          <w:sz w:val="22"/>
        </w:rPr>
      </w:r>
    </w:p>
    <w:p>
      <w:pPr>
        <w:pStyle w:val="642"/>
        <w:ind w:left="180" w:right="-289"/>
        <w:jc w:val="left"/>
      </w:pPr>
      <w:r>
        <w:t xml:space="preserve">                                   </w:t>
      </w:r>
      <w:r>
        <w:t xml:space="preserve">ХАНТЫ-МАНСИЙСКИЙ АВТОНОМНЫЙ ОКРУГ – ЮГРА </w:t>
      </w:r>
      <w:r>
        <w:t xml:space="preserve">                     </w:t>
      </w:r>
      <w:r/>
    </w:p>
    <w:p>
      <w:pPr>
        <w:pStyle w:val="634"/>
        <w:ind w:left="180" w:right="-28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Проект</w:t>
      </w:r>
      <w:r>
        <w:rPr>
          <w:b/>
          <w:sz w:val="20"/>
          <w:szCs w:val="20"/>
        </w:rPr>
      </w:r>
    </w:p>
    <w:p>
      <w:pPr>
        <w:pStyle w:val="638"/>
        <w:ind w:left="180" w:right="-289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</w:p>
    <w:p>
      <w:pPr>
        <w:pStyle w:val="634"/>
        <w:ind w:left="180" w:right="-289"/>
        <w:jc w:val="center"/>
      </w:pPr>
      <w:r/>
      <w:r/>
    </w:p>
    <w:p>
      <w:pPr>
        <w:pStyle w:val="636"/>
        <w:ind w:left="180" w:right="-289"/>
      </w:pPr>
      <w:r>
        <w:t xml:space="preserve">ПОСТАНОВЛЕНИЕ</w:t>
      </w:r>
      <w:r/>
    </w:p>
    <w:p>
      <w:pPr>
        <w:pStyle w:val="634"/>
        <w:ind w:left="180" w:right="-289"/>
      </w:pPr>
      <w:r/>
      <w:r/>
    </w:p>
    <w:p>
      <w:pPr>
        <w:pStyle w:val="634"/>
        <w:ind w:left="180" w:right="-289"/>
      </w:pPr>
      <w:r/>
      <w:r/>
    </w:p>
    <w:p>
      <w:pPr>
        <w:pStyle w:val="634"/>
        <w:ind w:left="180" w:right="-289"/>
      </w:pPr>
      <w:r/>
      <w:r/>
    </w:p>
    <w:p>
      <w:pPr>
        <w:pStyle w:val="634"/>
        <w:ind w:right="-289"/>
        <w:jc w:val="both"/>
      </w:pPr>
      <w:r>
        <w:t xml:space="preserve">от   декабря </w:t>
      </w:r>
      <w:r>
        <w:t xml:space="preserve">2</w:t>
      </w:r>
      <w:r>
        <w:t xml:space="preserve">025</w:t>
      </w:r>
      <w:r>
        <w:t xml:space="preserve"> года                                                     </w:t>
      </w:r>
      <w:r>
        <w:t xml:space="preserve">                            </w:t>
      </w:r>
      <w:r>
        <w:t xml:space="preserve">                      </w:t>
      </w:r>
      <w:r>
        <w:t xml:space="preserve">№</w:t>
      </w:r>
      <w:r>
        <w:t xml:space="preserve"> </w:t>
      </w:r>
      <w:r>
        <w:t xml:space="preserve"> </w:t>
      </w:r>
      <w:r>
        <w:t xml:space="preserve"> </w:t>
      </w:r>
      <w:r/>
    </w:p>
    <w:p>
      <w:pPr>
        <w:pStyle w:val="634"/>
        <w:ind w:left="180" w:right="-289"/>
        <w:jc w:val="both"/>
      </w:pPr>
      <w:r/>
      <w:r/>
    </w:p>
    <w:p>
      <w:pPr>
        <w:pStyle w:val="634"/>
        <w:ind w:left="180" w:right="-289"/>
        <w:jc w:val="both"/>
      </w:pPr>
      <w:r/>
      <w:r/>
    </w:p>
    <w:p>
      <w:pPr>
        <w:pStyle w:val="634"/>
        <w:ind w:left="357" w:right="284"/>
        <w:jc w:val="center"/>
        <w:rPr>
          <w:b/>
        </w:rPr>
      </w:pPr>
      <w:r>
        <w:rPr>
          <w:b/>
        </w:rPr>
        <w:t xml:space="preserve">О внесении изменения</w:t>
      </w:r>
      <w:r>
        <w:rPr>
          <w:b/>
        </w:rPr>
        <w:t xml:space="preserve"> в постановление</w:t>
      </w:r>
      <w:r>
        <w:rPr>
          <w:b/>
        </w:rPr>
        <w:t xml:space="preserve"> администрации Белоярского </w:t>
      </w:r>
      <w:r>
        <w:rPr>
          <w:b/>
        </w:rPr>
        <w:t xml:space="preserve">района</w:t>
      </w:r>
      <w:r>
        <w:rPr>
          <w:b/>
        </w:rPr>
      </w:r>
    </w:p>
    <w:p>
      <w:pPr>
        <w:pStyle w:val="634"/>
        <w:ind w:right="284"/>
        <w:jc w:val="center"/>
        <w:rPr>
          <w:b/>
        </w:rPr>
      </w:pPr>
      <w:r>
        <w:rPr>
          <w:b/>
        </w:rPr>
        <w:t xml:space="preserve">от</w:t>
      </w:r>
      <w:r>
        <w:rPr>
          <w:b/>
        </w:rPr>
        <w:t xml:space="preserve"> 4 сентября 2020 года № 779</w:t>
      </w:r>
      <w:r>
        <w:rPr>
          <w:b/>
        </w:rPr>
      </w:r>
      <w:r>
        <w:rPr>
          <w:b/>
        </w:rPr>
      </w:r>
    </w:p>
    <w:p>
      <w:pPr>
        <w:pStyle w:val="644"/>
        <w:ind w:left="360" w:right="-649"/>
      </w:pPr>
      <w:r/>
      <w:r/>
    </w:p>
    <w:p>
      <w:pPr>
        <w:pStyle w:val="644"/>
        <w:ind w:left="360" w:right="283"/>
      </w:pPr>
      <w:r/>
      <w:r/>
    </w:p>
    <w:p>
      <w:pPr>
        <w:pStyle w:val="634"/>
        <w:ind w:right="-1" w:firstLine="720"/>
        <w:jc w:val="both"/>
        <w:rPr>
          <w:bCs/>
        </w:rPr>
      </w:pPr>
      <w:r>
        <w:rPr>
          <w:bCs/>
        </w:rPr>
        <w:t xml:space="preserve">П о с т а н о в л я ю:</w:t>
      </w:r>
      <w:r>
        <w:rPr>
          <w:bCs/>
        </w:rPr>
      </w:r>
    </w:p>
    <w:p>
      <w:pPr>
        <w:pStyle w:val="634"/>
        <w:ind w:right="-1" w:firstLine="708"/>
        <w:jc w:val="both"/>
        <w:rPr>
          <w:highlight w:val="none"/>
        </w:rPr>
      </w:pPr>
      <w:r>
        <w:t xml:space="preserve">1</w:t>
      </w:r>
      <w:r>
        <w:t xml:space="preserve">. </w:t>
      </w:r>
      <w:r>
        <w:t xml:space="preserve">Внести в Порядок взаимодействия</w:t>
      </w:r>
      <w:r>
        <w:t xml:space="preserve"> органов местного самоуправления Белоярского района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</w:t>
      </w:r>
      <w:r>
        <w:t xml:space="preserve">, утвержденный постановлением</w:t>
      </w:r>
      <w:r>
        <w:t xml:space="preserve"> администрации Белоярского района от 4 сентября 2</w:t>
      </w:r>
      <w:r>
        <w:t xml:space="preserve">020 года № 779 «Об утверждении П</w:t>
      </w:r>
      <w:r>
        <w:t xml:space="preserve">орядк</w:t>
      </w:r>
      <w:r>
        <w:t xml:space="preserve">а взаимодействия органов местного самоуправления Белоярского района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района»</w:t>
      </w:r>
      <w:r>
        <w:t xml:space="preserve">,</w:t>
      </w:r>
      <w:r>
        <w:t xml:space="preserve"> следующие </w:t>
      </w:r>
      <w:r>
        <w:t xml:space="preserve">изменения:</w:t>
      </w:r>
      <w:r/>
    </w:p>
    <w:p>
      <w:pPr>
        <w:ind w:left="0" w:right="-1" w:firstLine="0"/>
        <w:jc w:val="both"/>
        <w:rPr>
          <w:highlight w:val="none"/>
        </w:rPr>
      </w:pPr>
      <w:r>
        <w:tab/>
        <w:t xml:space="preserve">1) пункт 1.2 изложить в следующей редакции:</w:t>
      </w:r>
      <w:r/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«</w:t>
      </w:r>
      <w:r>
        <w:rPr>
          <w:highlight w:val="none"/>
        </w:rPr>
        <w:t xml:space="preserve">1.2. Настоящий Порядок определяет правила взаимодействия органов местного самоуправления Белоярского района, подведомственных администрации Белоярского района муниципальных учреждений (далее - учреждения) с организаторами добровольческой (волонтерской) деят</w:t>
      </w:r>
      <w:r>
        <w:rPr>
          <w:highlight w:val="none"/>
        </w:rPr>
        <w:t xml:space="preserve">ельности, добровольческими (волонтерскими) организациями (далее - организаторы добровольческой деятельности; добровольческая организация, добровольческая деятельность).»;</w:t>
      </w:r>
      <w:r/>
    </w:p>
    <w:p>
      <w:pPr>
        <w:ind w:left="0" w:right="-1" w:firstLine="708"/>
        <w:jc w:val="both"/>
        <w:rPr>
          <w:highlight w:val="none"/>
        </w:rPr>
      </w:pPr>
      <w:r>
        <w:rPr>
          <w:highlight w:val="none"/>
        </w:rPr>
        <w:t xml:space="preserve">2)  </w:t>
      </w:r>
      <w:r>
        <w:t xml:space="preserve">пункт 1.4  изложить в следующей редакции:</w:t>
      </w:r>
      <w:r>
        <w:rPr>
          <w:highlight w:val="none"/>
        </w:rPr>
      </w:r>
      <w:r/>
    </w:p>
    <w:p>
      <w:pPr>
        <w:ind w:left="0" w:right="-1" w:firstLine="708"/>
        <w:jc w:val="both"/>
      </w:pPr>
      <w:r>
        <w:rPr>
          <w:highlight w:val="none"/>
        </w:rPr>
        <w:t xml:space="preserve">«1.4. Цели взаимодействия:</w:t>
      </w:r>
      <w:r/>
    </w:p>
    <w:p>
      <w:pPr>
        <w:ind w:left="0" w:right="-1" w:firstLine="708"/>
        <w:jc w:val="both"/>
      </w:pPr>
      <w:r>
        <w:rPr>
          <w:highlight w:val="none"/>
        </w:rPr>
        <w:t xml:space="preserve">1) повышение качества жизни благополучателей;</w:t>
      </w:r>
      <w:r/>
    </w:p>
    <w:p>
      <w:pPr>
        <w:ind w:left="0" w:right="-1" w:firstLine="708"/>
        <w:jc w:val="both"/>
      </w:pPr>
      <w:r>
        <w:rPr>
          <w:highlight w:val="none"/>
        </w:rPr>
        <w:t xml:space="preserve">2) развитие гражданского общества, формирование культуры добровольчества на территории Белоярского района;</w:t>
      </w:r>
      <w:r/>
    </w:p>
    <w:p>
      <w:pPr>
        <w:ind w:left="0" w:right="-1" w:firstLine="708"/>
        <w:jc w:val="both"/>
      </w:pPr>
      <w:r>
        <w:rPr>
          <w:highlight w:val="none"/>
        </w:rPr>
        <w:t xml:space="preserve">3) распространение добровольческой деятельности и увеличение количества добровольческих организаций и участников добровольческой деятельности на территории Белоярского района;</w:t>
      </w:r>
      <w:r/>
      <w:r>
        <w:rPr>
          <w:highlight w:val="none"/>
        </w:rPr>
      </w:r>
      <w:r>
        <w:rPr>
          <w:highlight w:val="none"/>
        </w:rPr>
      </w:r>
    </w:p>
    <w:p>
      <w:pPr>
        <w:ind w:right="-1" w:firstLine="708"/>
        <w:jc w:val="both"/>
      </w:pPr>
      <w:r>
        <w:t xml:space="preserve">4) социальная поддержка и защита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</w:t>
      </w:r>
      <w:r>
        <w:t xml:space="preserve">амостоятельно реализовать свои права и законные интересы;</w:t>
      </w:r>
      <w:r/>
    </w:p>
    <w:p>
      <w:pPr>
        <w:ind w:right="-1" w:firstLine="708"/>
        <w:jc w:val="both"/>
      </w:pPr>
      <w:r>
        <w:t xml:space="preserve">5) подготовка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  <w:r/>
    </w:p>
    <w:p>
      <w:pPr>
        <w:ind w:right="-1" w:firstLine="708"/>
        <w:jc w:val="both"/>
      </w:pPr>
      <w:r>
        <w:t xml:space="preserve">6) с</w:t>
      </w:r>
      <w:r>
        <w:t xml:space="preserve">одействие в защите населения и территорий от чрезвычайных ситуаций, обеспечение пожарной безопасности и безопасности людей на водных объектах, </w:t>
      </w:r>
      <w:r>
        <w:t xml:space="preserve">участие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</w:t>
      </w:r>
      <w:r>
        <w:t xml:space="preserve">ьных, национальных, религиозных конфликтов, жертвам репрессий, беженцам и вынужденным переселенцам;</w:t>
      </w:r>
      <w:r/>
    </w:p>
    <w:p>
      <w:pPr>
        <w:ind w:right="-1" w:firstLine="708"/>
        <w:jc w:val="both"/>
      </w:pPr>
      <w:r>
        <w:t xml:space="preserve">7) содействие укреплению мира, дружбы и согласия между народами, предотвращению социальных, национальных, религиозных конфликтов;</w:t>
      </w:r>
      <w:r/>
    </w:p>
    <w:p>
      <w:pPr>
        <w:ind w:right="-1" w:firstLine="708"/>
        <w:jc w:val="both"/>
      </w:pPr>
      <w:r>
        <w:t xml:space="preserve">8) поддержка, укрепление и защита семьи, многодетности, сохранение традиционных семейных ценностей, популяризация института брака;</w:t>
      </w:r>
      <w:r/>
    </w:p>
    <w:p>
      <w:pPr>
        <w:ind w:right="-1" w:firstLine="708"/>
        <w:jc w:val="both"/>
      </w:pPr>
      <w:r>
        <w:t xml:space="preserve">9) содействие защите материнства, детства и отцовства;</w:t>
      </w:r>
      <w:r/>
    </w:p>
    <w:p>
      <w:pPr>
        <w:ind w:right="-1" w:firstLine="708"/>
        <w:jc w:val="both"/>
      </w:pPr>
      <w:r>
        <w:t xml:space="preserve">10) содействие деятельности в сфере образования, науки, культуры, искусства, просвещения, духовного развития личности;</w:t>
      </w:r>
      <w:r/>
    </w:p>
    <w:p>
      <w:pPr>
        <w:ind w:right="-1" w:firstLine="708"/>
        <w:jc w:val="both"/>
      </w:pPr>
      <w:r>
        <w:t xml:space="preserve">11)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  <w:r/>
    </w:p>
    <w:p>
      <w:pPr>
        <w:ind w:right="-1" w:firstLine="708"/>
        <w:jc w:val="both"/>
      </w:pPr>
      <w:r>
        <w:t xml:space="preserve">12) содействие деятельности в области физической культуры и спорта (за исключением профессионального спорта), участие в организации и (или) проведении физкультурных и спортивных мероприятий в форме безвозмездного выполнения работ и (или) оказания услуг физическ</w:t>
      </w:r>
      <w:r>
        <w:t xml:space="preserve">ими лицами;</w:t>
      </w:r>
      <w:r/>
    </w:p>
    <w:p>
      <w:pPr>
        <w:ind w:right="-1" w:firstLine="708"/>
        <w:jc w:val="both"/>
      </w:pPr>
      <w:r>
        <w:t xml:space="preserve">13) с</w:t>
      </w:r>
      <w:r>
        <w:t xml:space="preserve">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</w:t>
      </w:r>
      <w:r>
        <w:t xml:space="preserve">;</w:t>
      </w:r>
      <w:r/>
    </w:p>
    <w:p>
      <w:pPr>
        <w:ind w:right="-1" w:firstLine="708"/>
        <w:jc w:val="both"/>
      </w:pPr>
      <w:r>
        <w:t xml:space="preserve">14)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  <w:r/>
    </w:p>
    <w:p>
      <w:pPr>
        <w:ind w:right="-1" w:firstLine="708"/>
        <w:jc w:val="both"/>
      </w:pPr>
      <w:r>
        <w:t xml:space="preserve">15) подготовка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r/>
    </w:p>
    <w:p>
      <w:pPr>
        <w:ind w:right="-1" w:firstLine="708"/>
        <w:jc w:val="both"/>
      </w:pPr>
      <w:r>
        <w:t xml:space="preserve">16) социальная реабилитация детей-сирот, детей, оставшихся без попечения родителей, безнадзорных детей, детей, находящихся в трудной жизненной ситуации; с</w:t>
      </w:r>
      <w:r/>
      <w:r>
        <w:t xml:space="preserve">одействие в оказании социальных услуг в организациях для детей-сирот и детей, оставшихся без попечения родителей;</w:t>
      </w:r>
      <w:r/>
      <w:r/>
    </w:p>
    <w:p>
      <w:pPr>
        <w:ind w:right="-1" w:firstLine="708"/>
        <w:jc w:val="both"/>
      </w:pPr>
      <w:r>
        <w:t xml:space="preserve">17) оказание бесплатной юридической помощи и правового просвещения населения;</w:t>
      </w:r>
      <w:r/>
    </w:p>
    <w:p>
      <w:pPr>
        <w:ind w:right="-1" w:firstLine="708"/>
        <w:jc w:val="both"/>
      </w:pPr>
      <w:r>
        <w:t xml:space="preserve">18) содействие добровольческой (волонтерской) деятельности;</w:t>
      </w:r>
      <w:r/>
    </w:p>
    <w:p>
      <w:pPr>
        <w:ind w:right="-1" w:firstLine="708"/>
        <w:jc w:val="both"/>
      </w:pPr>
      <w:r>
        <w:t xml:space="preserve">19) участие в деятельности по профилактике безнадзорности и правонарушений несовершеннолетних, </w:t>
      </w:r>
      <w:r>
        <w:t xml:space="preserve">социально опасных форм поведения граждан</w:t>
      </w:r>
      <w:r>
        <w:t xml:space="preserve">;</w:t>
      </w:r>
      <w:r/>
    </w:p>
    <w:p>
      <w:pPr>
        <w:ind w:right="-1" w:firstLine="708"/>
        <w:jc w:val="both"/>
      </w:pPr>
      <w:r>
        <w:t xml:space="preserve">20) содействие развитию научно-технического, художественного творчества детей и молодежи;</w:t>
      </w:r>
      <w:r/>
    </w:p>
    <w:p>
      <w:pPr>
        <w:ind w:right="-1" w:firstLine="708"/>
        <w:jc w:val="both"/>
      </w:pPr>
      <w:r>
        <w:t xml:space="preserve">21) содействие патриотическому, духовно-нравственному воспитанию детей и молодежи;</w:t>
      </w:r>
      <w:r/>
    </w:p>
    <w:p>
      <w:pPr>
        <w:ind w:right="-1" w:firstLine="708"/>
        <w:jc w:val="both"/>
      </w:pPr>
      <w:r>
        <w:t xml:space="preserve">22) поддержка общественно значимых молодежных инициатив, проектов, детского и молодежного движения, детских и молодежных организаций;</w:t>
      </w:r>
      <w:r/>
    </w:p>
    <w:p>
      <w:pPr>
        <w:ind w:right="-1" w:firstLine="708"/>
        <w:jc w:val="both"/>
      </w:pPr>
      <w:r>
        <w:t xml:space="preserve">23) содействие деятельности по производству и (или) распространению социальной рекламы;</w:t>
      </w:r>
      <w:r/>
    </w:p>
    <w:p>
      <w:pPr>
        <w:ind w:right="-1" w:firstLine="708"/>
        <w:jc w:val="both"/>
      </w:pPr>
      <w:r>
        <w:t xml:space="preserve">24) содействие профилактике социально опасных форм поведения граждан;</w:t>
      </w:r>
      <w:r/>
    </w:p>
    <w:p>
      <w:pPr>
        <w:ind w:right="-1" w:firstLine="708"/>
        <w:jc w:val="both"/>
      </w:pPr>
      <w:r>
        <w:t xml:space="preserve">25) участие граждан в поиске лиц, пропавших без вести;</w:t>
      </w:r>
      <w:r/>
    </w:p>
    <w:p>
      <w:pPr>
        <w:ind w:right="-1" w:firstLine="708"/>
        <w:jc w:val="both"/>
      </w:pPr>
      <w:r>
        <w:t xml:space="preserve">26) содействие в оказании медицинской помощи в организациях, оказывающих медицинскую помощь;</w:t>
      </w:r>
      <w:r/>
    </w:p>
    <w:p>
      <w:pPr>
        <w:ind w:right="-1" w:firstLine="708"/>
        <w:jc w:val="both"/>
      </w:pPr>
      <w:r>
        <w:t xml:space="preserve">27) содействие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  <w:r/>
    </w:p>
    <w:p>
      <w:pPr>
        <w:ind w:right="-1" w:firstLine="708"/>
        <w:jc w:val="both"/>
      </w:pPr>
      <w:r>
        <w:t xml:space="preserve">28) участие в проведении мероприятий по увековечению памяти погибших при защите Отечества;</w:t>
      </w:r>
      <w:r/>
    </w:p>
    <w:p>
      <w:pPr>
        <w:ind w:right="-1" w:firstLine="708"/>
        <w:jc w:val="both"/>
      </w:pPr>
      <w:r>
        <w:t xml:space="preserve">29) оказание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идентичности;</w:t>
      </w:r>
      <w:r/>
    </w:p>
    <w:p>
      <w:pPr>
        <w:ind w:right="-1" w:firstLine="708"/>
        <w:jc w:val="both"/>
      </w:pPr>
      <w:r>
        <w:t xml:space="preserve">30) развитие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донорства.</w:t>
      </w:r>
      <w:r/>
    </w:p>
    <w:p>
      <w:pPr>
        <w:ind w:right="-1" w:firstLine="708"/>
        <w:jc w:val="both"/>
        <w:rPr>
          <w:highlight w:val="none"/>
        </w:rPr>
      </w:pPr>
      <w:r>
        <w:t xml:space="preserve">31)  </w:t>
      </w:r>
      <w:r>
        <w:t xml:space="preserve">благоустройство территории</w:t>
      </w:r>
      <w:r/>
      <w:r/>
      <w:r>
        <w:t xml:space="preserve">;</w:t>
      </w:r>
      <w:r/>
    </w:p>
    <w:p>
      <w:pPr>
        <w:ind w:right="-1" w:firstLine="708"/>
        <w:jc w:val="both"/>
        <w:rPr>
          <w:highlight w:val="none"/>
        </w:rPr>
      </w:pPr>
      <w:r>
        <w:rPr>
          <w:highlight w:val="none"/>
        </w:rPr>
        <w:t xml:space="preserve">32) с</w:t>
      </w:r>
      <w:r>
        <w:rPr>
          <w:highlight w:val="none"/>
        </w:rPr>
        <w:t xml:space="preserve">одействие в оказании социальных услуг в стационарной форме социального обслуживания</w:t>
      </w:r>
      <w:r>
        <w:rPr>
          <w:highlight w:val="none"/>
        </w:rPr>
        <w:t xml:space="preserve">.»;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34"/>
        <w:ind w:right="-1" w:firstLine="708"/>
        <w:jc w:val="both"/>
      </w:pPr>
      <w:r>
        <w:t xml:space="preserve">2</w:t>
      </w:r>
      <w:r>
        <w:t xml:space="preserve">.</w:t>
      </w:r>
      <w:r>
        <w:t xml:space="preserve"> </w:t>
      </w:r>
      <w:r>
        <w:t xml:space="preserve">Опубликовать настоящее постановление в газетах «Белоярские вести», «Белоярские вести. Официальный выпуск».</w:t>
      </w:r>
      <w:r/>
    </w:p>
    <w:p>
      <w:pPr>
        <w:pStyle w:val="634"/>
        <w:ind w:right="-1" w:firstLine="708"/>
        <w:jc w:val="both"/>
      </w:pPr>
      <w:r>
        <w:t xml:space="preserve">3</w:t>
      </w:r>
      <w:r>
        <w:t xml:space="preserve">.</w:t>
      </w:r>
      <w:r>
        <w:t xml:space="preserve"> </w:t>
      </w: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634"/>
        <w:ind w:firstLine="708"/>
        <w:jc w:val="both"/>
      </w:pPr>
      <w:r>
        <w:t xml:space="preserve">4</w:t>
      </w:r>
      <w:r>
        <w:t xml:space="preserve">. </w:t>
      </w:r>
      <w:r>
        <w:t xml:space="preserve">Контроль за выполнением постановления возложить </w:t>
      </w:r>
      <w:r>
        <w:t xml:space="preserve">на заместителя</w:t>
      </w:r>
      <w:r>
        <w:t xml:space="preserve"> главы Белоярского </w:t>
      </w:r>
      <w:r>
        <w:t xml:space="preserve">района по социальным вопросам Сокол</w:t>
      </w:r>
      <w:r>
        <w:t xml:space="preserve"> Н.В.</w:t>
      </w:r>
      <w:r/>
    </w:p>
    <w:p>
      <w:pPr>
        <w:pStyle w:val="634"/>
        <w:ind w:left="360" w:right="-1" w:firstLine="720"/>
        <w:jc w:val="both"/>
      </w:pPr>
      <w:r/>
      <w:r/>
    </w:p>
    <w:p>
      <w:pPr>
        <w:pStyle w:val="634"/>
        <w:ind w:left="360" w:right="-1" w:firstLine="720"/>
        <w:jc w:val="both"/>
      </w:pPr>
      <w:r/>
      <w:r/>
    </w:p>
    <w:p>
      <w:pPr>
        <w:pStyle w:val="647"/>
        <w:ind w:left="0" w:right="-649"/>
      </w:pPr>
      <w:r>
        <w:t xml:space="preserve">Глава</w:t>
      </w:r>
      <w:r>
        <w:t xml:space="preserve"> Белоярского района</w:t>
      </w:r>
      <w:r>
        <w:t xml:space="preserve">                                                                     </w:t>
      </w:r>
      <w:r>
        <w:t xml:space="preserve">                    </w:t>
      </w:r>
      <w:r>
        <w:t xml:space="preserve">С.П.</w:t>
      </w:r>
      <w:r>
        <w:t xml:space="preserve"> Маненков</w:t>
      </w:r>
      <w:r>
        <w:tab/>
        <w:tab/>
        <w:tab/>
        <w:tab/>
        <w:tab/>
        <w:tab/>
      </w:r>
      <w: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0"/>
      <w:numFmt w:val="bullet"/>
      <w:isLgl w:val="false"/>
      <w:suff w:val="tab"/>
      <w:lvlText w:val="-"/>
      <w:lvlJc w:val="left"/>
      <w:pPr>
        <w:ind w:left="3183" w:hanging="1110"/>
        <w:tabs>
          <w:tab w:val="num" w:pos="3183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  <w:tabs>
          <w:tab w:val="num" w:pos="315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  <w:tabs>
          <w:tab w:val="num" w:pos="387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  <w:tabs>
          <w:tab w:val="num" w:pos="459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  <w:tabs>
          <w:tab w:val="num" w:pos="531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  <w:tabs>
          <w:tab w:val="num" w:pos="603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  <w:tabs>
          <w:tab w:val="num" w:pos="675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  <w:tabs>
          <w:tab w:val="num" w:pos="7473" w:leader="none"/>
        </w:tabs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sz w:val="24"/>
      <w:szCs w:val="24"/>
      <w:lang w:val="ru-RU" w:eastAsia="ru-RU" w:bidi="ar-SA"/>
    </w:rPr>
  </w:style>
  <w:style w:type="paragraph" w:styleId="635">
    <w:name w:val="Заголовок 1"/>
    <w:basedOn w:val="634"/>
    <w:next w:val="634"/>
    <w:link w:val="634"/>
    <w:qFormat/>
    <w:pPr>
      <w:jc w:val="center"/>
      <w:keepNext/>
      <w:outlineLvl w:val="0"/>
    </w:pPr>
    <w:rPr>
      <w:b/>
      <w:sz w:val="20"/>
      <w:szCs w:val="20"/>
    </w:rPr>
  </w:style>
  <w:style w:type="paragraph" w:styleId="636">
    <w:name w:val="Заголовок 2"/>
    <w:basedOn w:val="634"/>
    <w:next w:val="634"/>
    <w:link w:val="634"/>
    <w:qFormat/>
    <w:pPr>
      <w:jc w:val="center"/>
      <w:keepNext/>
      <w:outlineLvl w:val="1"/>
    </w:pPr>
    <w:rPr>
      <w:b/>
      <w:sz w:val="28"/>
      <w:szCs w:val="20"/>
    </w:rPr>
  </w:style>
  <w:style w:type="paragraph" w:styleId="637">
    <w:name w:val="Заголовок 3"/>
    <w:basedOn w:val="634"/>
    <w:next w:val="634"/>
    <w:link w:val="634"/>
    <w:qFormat/>
    <w:pPr>
      <w:jc w:val="center"/>
      <w:keepNext/>
      <w:outlineLvl w:val="2"/>
    </w:pPr>
    <w:rPr>
      <w:b/>
      <w:szCs w:val="20"/>
    </w:rPr>
  </w:style>
  <w:style w:type="paragraph" w:styleId="638">
    <w:name w:val="Заголовок 6"/>
    <w:basedOn w:val="634"/>
    <w:next w:val="634"/>
    <w:link w:val="634"/>
    <w:qFormat/>
    <w:pPr>
      <w:jc w:val="center"/>
      <w:keepNext/>
      <w:outlineLvl w:val="5"/>
    </w:pPr>
    <w:rPr>
      <w:b/>
      <w:sz w:val="26"/>
      <w:szCs w:val="20"/>
    </w:rPr>
  </w:style>
  <w:style w:type="character" w:styleId="639">
    <w:name w:val="Основной шрифт абзаца"/>
    <w:next w:val="639"/>
    <w:link w:val="648"/>
    <w:semiHidden/>
  </w:style>
  <w:style w:type="table" w:styleId="640">
    <w:name w:val="Обычная таблица"/>
    <w:next w:val="640"/>
    <w:link w:val="634"/>
    <w:semiHidden/>
    <w:tblPr/>
  </w:style>
  <w:style w:type="numbering" w:styleId="641">
    <w:name w:val="Нет списка"/>
    <w:next w:val="641"/>
    <w:link w:val="634"/>
    <w:semiHidden/>
  </w:style>
  <w:style w:type="paragraph" w:styleId="642">
    <w:name w:val="Название объекта"/>
    <w:basedOn w:val="634"/>
    <w:next w:val="634"/>
    <w:link w:val="634"/>
    <w:qFormat/>
    <w:pPr>
      <w:jc w:val="center"/>
    </w:pPr>
    <w:rPr>
      <w:b/>
      <w:sz w:val="20"/>
      <w:szCs w:val="20"/>
    </w:rPr>
  </w:style>
  <w:style w:type="paragraph" w:styleId="643">
    <w:name w:val="Основной текст с отступом 2"/>
    <w:basedOn w:val="634"/>
    <w:next w:val="643"/>
    <w:link w:val="634"/>
    <w:pPr>
      <w:ind w:firstLine="720"/>
      <w:jc w:val="both"/>
      <w:tabs>
        <w:tab w:val="left" w:pos="8364" w:leader="none"/>
      </w:tabs>
    </w:pPr>
    <w:rPr>
      <w:szCs w:val="20"/>
    </w:rPr>
  </w:style>
  <w:style w:type="paragraph" w:styleId="644">
    <w:name w:val="Основной текст 2"/>
    <w:basedOn w:val="634"/>
    <w:next w:val="644"/>
    <w:link w:val="634"/>
    <w:pPr>
      <w:jc w:val="center"/>
    </w:pPr>
    <w:rPr>
      <w:b/>
    </w:rPr>
  </w:style>
  <w:style w:type="paragraph" w:styleId="645">
    <w:name w:val="Основной текст"/>
    <w:basedOn w:val="634"/>
    <w:next w:val="645"/>
    <w:link w:val="634"/>
    <w:pPr>
      <w:jc w:val="both"/>
    </w:pPr>
  </w:style>
  <w:style w:type="paragraph" w:styleId="646">
    <w:name w:val="Текст выноски"/>
    <w:basedOn w:val="634"/>
    <w:next w:val="646"/>
    <w:link w:val="634"/>
    <w:semiHidden/>
    <w:rPr>
      <w:rFonts w:ascii="Tahoma" w:hAnsi="Tahoma" w:cs="Tahoma"/>
      <w:sz w:val="16"/>
      <w:szCs w:val="16"/>
    </w:rPr>
  </w:style>
  <w:style w:type="paragraph" w:styleId="647">
    <w:name w:val="Цитата"/>
    <w:basedOn w:val="634"/>
    <w:next w:val="647"/>
    <w:link w:val="634"/>
    <w:pPr>
      <w:ind w:left="180" w:right="-289"/>
      <w:jc w:val="both"/>
    </w:pPr>
  </w:style>
  <w:style w:type="paragraph" w:styleId="648">
    <w:name w:val=" Знак"/>
    <w:basedOn w:val="634"/>
    <w:next w:val="648"/>
    <w:link w:val="639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649">
    <w:name w:val="Основной текст с отступом"/>
    <w:basedOn w:val="634"/>
    <w:next w:val="649"/>
    <w:link w:val="634"/>
    <w:pPr>
      <w:ind w:left="283"/>
      <w:spacing w:after="120"/>
    </w:pPr>
  </w:style>
  <w:style w:type="paragraph" w:styleId="650">
    <w:name w:val="Знак"/>
    <w:basedOn w:val="634"/>
    <w:next w:val="650"/>
    <w:link w:val="634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651">
    <w:name w:val="Знак Знак"/>
    <w:basedOn w:val="634"/>
    <w:next w:val="651"/>
    <w:link w:val="634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table" w:styleId="652">
    <w:name w:val="Сетка таблицы"/>
    <w:basedOn w:val="640"/>
    <w:next w:val="652"/>
    <w:link w:val="634"/>
    <w:tblPr/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Undergraund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Григорьевна</dc:creator>
  <cp:lastModifiedBy>KaveckayaSR</cp:lastModifiedBy>
  <cp:revision>40</cp:revision>
  <dcterms:created xsi:type="dcterms:W3CDTF">2019-03-12T05:29:00Z</dcterms:created>
  <dcterms:modified xsi:type="dcterms:W3CDTF">2025-12-01T05:38:00Z</dcterms:modified>
  <cp:version>1048576</cp:version>
</cp:coreProperties>
</file>