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ind w:hanging="142"/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62"/>
        <w:jc w:val="center"/>
        <w:spacing w:after="0" w:line="240" w:lineRule="auto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p>
      <w:pPr>
        <w:pStyle w:val="862"/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pStyle w:val="862"/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862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2"/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862"/>
        <w:jc w:val="center"/>
        <w:keepNext/>
        <w:spacing w:after="0" w:line="240" w:lineRule="auto"/>
        <w:rPr>
          <w:rFonts w:eastAsia="Times New Roman"/>
          <w:b/>
          <w:sz w:val="28"/>
          <w:szCs w:val="28"/>
          <w:lang w:eastAsia="ru-RU"/>
        </w:rPr>
        <w:outlineLvl w:val="0"/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862"/>
        <w:jc w:val="center"/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</w:r>
      <w:r>
        <w:rPr>
          <w:rFonts w:eastAsia="Times New Roman"/>
          <w:b/>
          <w:sz w:val="20"/>
          <w:szCs w:val="20"/>
          <w:lang w:eastAsia="ru-RU"/>
        </w:rPr>
      </w:r>
      <w:r>
        <w:rPr>
          <w:rFonts w:eastAsia="Times New Roman"/>
          <w:b/>
          <w:sz w:val="20"/>
          <w:szCs w:val="20"/>
          <w:lang w:eastAsia="ru-RU"/>
        </w:rPr>
      </w:r>
    </w:p>
    <w:p>
      <w:pPr>
        <w:pStyle w:val="864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864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862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2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2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3 декабря</w:t>
      </w:r>
      <w:r>
        <w:rPr>
          <w:rFonts w:eastAsia="Times New Roman"/>
          <w:sz w:val="24"/>
          <w:szCs w:val="24"/>
          <w:lang w:eastAsia="ru-RU"/>
        </w:rPr>
        <w:t xml:space="preserve"> 2024 года                                                                                                               №</w:t>
      </w:r>
      <w:r>
        <w:rPr>
          <w:rFonts w:eastAsia="Times New Roman"/>
          <w:sz w:val="24"/>
          <w:szCs w:val="24"/>
          <w:lang w:eastAsia="ru-RU"/>
        </w:rPr>
        <w:t xml:space="preserve"> 826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2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2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2"/>
        <w:jc w:val="center"/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Об утверждении муниципальной программы Белоярского района</w:t>
      </w:r>
      <w:r>
        <w:rPr>
          <w:rFonts w:eastAsia="Times New Roman"/>
          <w:b/>
          <w:sz w:val="24"/>
          <w:szCs w:val="24"/>
        </w:rPr>
      </w:r>
      <w:r>
        <w:rPr>
          <w:rFonts w:eastAsia="Times New Roman"/>
          <w:b/>
          <w:sz w:val="24"/>
          <w:szCs w:val="24"/>
        </w:rPr>
      </w:r>
    </w:p>
    <w:p>
      <w:pPr>
        <w:pStyle w:val="862"/>
        <w:jc w:val="center"/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«Социально-экономическое развитие коренных малочисленных народов Севера»</w:t>
      </w:r>
      <w:r>
        <w:rPr>
          <w:rFonts w:eastAsia="Times New Roman"/>
          <w:b/>
          <w:sz w:val="24"/>
          <w:szCs w:val="24"/>
        </w:rPr>
      </w:r>
      <w:r>
        <w:rPr>
          <w:rFonts w:eastAsia="Times New Roman"/>
          <w:b/>
          <w:sz w:val="24"/>
          <w:szCs w:val="24"/>
        </w:rPr>
      </w:r>
    </w:p>
    <w:p>
      <w:pPr>
        <w:pStyle w:val="862"/>
        <w:jc w:val="center"/>
        <w:spacing w:after="0" w:line="240" w:lineRule="auto"/>
        <w:rPr>
          <w:i/>
          <w:sz w:val="24"/>
          <w:szCs w:val="24"/>
          <w:lang w:eastAsia="ru-RU"/>
        </w:rPr>
      </w:pPr>
      <w:r>
        <w:rPr>
          <w:i/>
        </w:rPr>
        <w:t xml:space="preserve">(в редакции постановлений администрации Белоярского района</w:t>
      </w:r>
      <w:r>
        <w:rPr>
          <w:i/>
          <w:sz w:val="24"/>
          <w:szCs w:val="24"/>
          <w:lang w:eastAsia="ru-RU"/>
        </w:rPr>
      </w:r>
      <w:r>
        <w:rPr>
          <w:i/>
          <w:sz w:val="24"/>
          <w:szCs w:val="24"/>
          <w:lang w:eastAsia="ru-RU"/>
        </w:rPr>
      </w:r>
    </w:p>
    <w:p>
      <w:pPr>
        <w:pStyle w:val="862"/>
        <w:jc w:val="center"/>
        <w:spacing w:after="0" w:line="240" w:lineRule="auto"/>
        <w:rPr>
          <w:bCs/>
          <w:i/>
        </w:rPr>
      </w:pPr>
      <w:r>
        <w:rPr>
          <w:i/>
        </w:rPr>
        <w:t xml:space="preserve"> от 19 июня 2025 года №403, от 10 сентября 2025 года №598,</w:t>
      </w:r>
      <w:r>
        <w:rPr>
          <w:rFonts w:ascii="Calibri" w:hAnsi="Calibri" w:cs="Calibri"/>
          <w:i/>
        </w:rPr>
      </w:r>
      <w:r>
        <w:rPr>
          <w:bCs/>
          <w:i/>
        </w:rPr>
      </w:r>
    </w:p>
    <w:p>
      <w:pPr>
        <w:jc w:val="center"/>
        <w:spacing w:after="0" w:line="240" w:lineRule="auto"/>
        <w:rPr>
          <w:rFonts w:ascii="Calibri" w:hAnsi="Calibri" w:cs="Calibri"/>
          <w:bCs/>
          <w:i/>
        </w:rPr>
      </w:pPr>
      <w:r>
        <w:rPr>
          <w:i/>
        </w:rPr>
        <w:t xml:space="preserve">от 26 декабря 2025 года №895, от 27 января 2026 года №49)</w:t>
      </w:r>
      <w:r>
        <w:rPr>
          <w:rFonts w:ascii="Calibri" w:hAnsi="Calibri" w:cs="Calibri"/>
          <w:i/>
        </w:rPr>
      </w:r>
      <w:r>
        <w:rPr>
          <w:rFonts w:ascii="Calibri" w:hAnsi="Calibri" w:cs="Calibri"/>
          <w:bCs/>
          <w:i/>
        </w:rPr>
      </w:r>
    </w:p>
    <w:p>
      <w:pPr>
        <w:pStyle w:val="862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862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862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862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862"/>
        <w:ind w:firstLine="539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соответствии с 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HYPERLINK https://login.consultant.ru/link/?req=doc&amp;base=RLAW926&amp;n=234503&amp;dst=100025 </w:instrText>
      </w:r>
      <w:r>
        <w:rPr>
          <w:rFonts w:eastAsia="Times New Roman"/>
          <w:sz w:val="24"/>
          <w:szCs w:val="24"/>
        </w:rPr>
        <w:fldChar w:fldCharType="separate"/>
      </w:r>
      <w:r>
        <w:rPr>
          <w:rFonts w:eastAsia="Times New Roman"/>
          <w:sz w:val="24"/>
          <w:szCs w:val="24"/>
        </w:rPr>
        <w:t xml:space="preserve">постановлением</w:t>
      </w:r>
      <w:r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 xml:space="preserve"> администрации Белоярского района от 3 сентября 2018 года № 776 «Об утверждении Порядка принятия решений о разработке, формировании и реализации муниципальных программ Белоярского района», п о с т а н о в л я ю: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862"/>
        <w:ind w:firstLine="878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</w:rPr>
        <w:t xml:space="preserve">1. Утвердить прилагаемую муниципальную 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HYPERLINK https://login.consultant.ru/link/?req=doc&amp;base=RLAW926&amp;n=183682&amp;dst=100011 </w:instrText>
      </w:r>
      <w:r>
        <w:rPr>
          <w:rFonts w:eastAsia="Times New Roman"/>
          <w:sz w:val="24"/>
          <w:szCs w:val="24"/>
        </w:rPr>
        <w:fldChar w:fldCharType="separate"/>
      </w:r>
      <w:r>
        <w:rPr>
          <w:rFonts w:eastAsia="Times New Roman"/>
          <w:sz w:val="24"/>
          <w:szCs w:val="24"/>
        </w:rPr>
        <w:t xml:space="preserve">программу</w:t>
      </w:r>
      <w:r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 xml:space="preserve"> Белоярского района «Социально-экономическое развитие коренных малочисленных народов Севера»</w:t>
      </w:r>
      <w:r>
        <w:rPr>
          <w:rFonts w:eastAsia="Times New Roman"/>
          <w:sz w:val="24"/>
          <w:szCs w:val="24"/>
        </w:rPr>
        <w:t xml:space="preserve">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2"/>
        <w:ind w:firstLine="878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862"/>
        <w:ind w:firstLine="878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 Настоящее постановление вступает в силу после его официального опубликования, но не ранее 1 января 2025 года.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862"/>
        <w:ind w:firstLine="878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 Контроль за выполнением постановления возложить на заместителя главы Белоярского района Ващука В.А.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862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862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862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ab/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862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  <w:sectPr>
          <w:headerReference w:type="default" r:id="rId9"/>
          <w:footerReference w:type="first" r:id="rId10"/>
          <w:footnotePr/>
          <w:endnotePr/>
          <w:type w:val="nextPage"/>
          <w:pgSz w:w="11906" w:h="16838" w:orient="portrait"/>
          <w:pgMar w:top="720" w:right="720" w:bottom="720" w:left="1276" w:header="708" w:footer="708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0"/>
          <w:lang w:eastAsia="ru-RU"/>
        </w:rPr>
        <w:t xml:space="preserve">Глава Белоярского район</w:t>
      </w:r>
      <w:r>
        <w:rPr>
          <w:rFonts w:eastAsia="Times New Roman"/>
          <w:sz w:val="24"/>
          <w:szCs w:val="20"/>
          <w:lang w:eastAsia="ru-RU"/>
        </w:rPr>
        <w:t xml:space="preserve">а</w:t>
      </w:r>
      <w:r>
        <w:rPr>
          <w:rFonts w:eastAsia="Times New Roman"/>
          <w:sz w:val="24"/>
          <w:szCs w:val="20"/>
          <w:lang w:eastAsia="ru-RU"/>
        </w:rPr>
        <w:t xml:space="preserve">   </w:t>
        <w:tab/>
        <w:tab/>
        <w:tab/>
        <w:tab/>
        <w:tab/>
        <w:t xml:space="preserve">                                  С.П.Маненков</w:t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tbl>
      <w:tblPr>
        <w:tblW w:w="15178" w:type="dxa"/>
        <w:tblInd w:w="9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245"/>
        <w:gridCol w:w="7933"/>
      </w:tblGrid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78" w:type="dxa"/>
            <w:vAlign w:val="bottom"/>
            <w:textDirection w:val="lrTb"/>
            <w:noWrap/>
          </w:tcPr>
          <w:p>
            <w:pPr>
              <w:pStyle w:val="862"/>
              <w:ind w:left="5382"/>
              <w:jc w:val="right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УТВЕРЖДЕНА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pStyle w:val="862"/>
              <w:ind w:left="5382"/>
              <w:jc w:val="right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постановлением администрации Белоярского района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pStyle w:val="862"/>
              <w:jc w:val="right"/>
              <w:rPr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 3 декабря 2024 года № 826</w:t>
            </w:r>
            <w:r>
              <w:rPr>
                <w:color w:val="000000"/>
                <w:sz w:val="24"/>
                <w:szCs w:val="24"/>
                <w:lang w:eastAsia="zh-CN" w:bidi="ar"/>
              </w:rPr>
            </w:r>
            <w:r>
              <w:rPr>
                <w:color w:val="000000"/>
                <w:sz w:val="24"/>
                <w:szCs w:val="24"/>
                <w:lang w:eastAsia="zh-CN" w:bidi="ar"/>
              </w:rPr>
            </w:r>
          </w:p>
          <w:p>
            <w:pPr>
              <w:pStyle w:val="8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Белоярского района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«Социально-экономическое развитие коренных малочисленных народов Севера»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8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(далее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также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муниципальная программа)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Белоярского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«Социально-экономическое развитие коренных малочисленных народов Севера»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2"/>
              <w:jc w:val="center"/>
              <w:rPr>
                <w:color w:val="000000"/>
              </w:rPr>
            </w:pPr>
            <w:r>
              <w:rPr>
                <w:sz w:val="24"/>
                <w:szCs w:val="24"/>
                <w:lang w:eastAsia="ru-RU"/>
              </w:rPr>
              <w:t xml:space="preserve">1. Основные положения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W w:w="7245" w:type="dxa"/>
            <w:vAlign w:val="bottom"/>
            <w:textDirection w:val="lrTb"/>
            <w:noWrap/>
          </w:tcPr>
          <w:p>
            <w:pPr>
              <w:pStyle w:val="862"/>
              <w:spacing w:after="0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Куратор муниципальной программы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W w:w="7933" w:type="dxa"/>
            <w:vAlign w:val="bottom"/>
            <w:textDirection w:val="lrTb"/>
            <w:noWrap/>
          </w:tcPr>
          <w:p>
            <w:pPr>
              <w:pStyle w:val="862"/>
              <w:jc w:val="both"/>
              <w:spacing w:after="0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З</w:t>
            </w:r>
            <w:r>
              <w:rPr>
                <w:color w:val="000000"/>
                <w:lang w:val="en-US" w:eastAsia="zh-CN" w:bidi="ar"/>
              </w:rPr>
              <w:t xml:space="preserve">аместитель главы Белоярского района</w:t>
            </w:r>
            <w:r>
              <w:rPr>
                <w:color w:val="000000"/>
                <w:lang w:val="en-US" w:eastAsia="zh-CN" w:bidi="ar"/>
              </w:rPr>
              <w:t xml:space="preserve"> </w:t>
            </w:r>
            <w:r>
              <w:rPr>
                <w:color w:val="000000"/>
                <w:lang w:val="en-US" w:eastAsia="zh-CN" w:bidi="ar"/>
              </w:rPr>
              <w:t xml:space="preserve">–</w:t>
            </w:r>
            <w:r>
              <w:rPr>
                <w:color w:val="000000"/>
                <w:lang w:val="en-US" w:eastAsia="zh-CN" w:bidi="ar"/>
              </w:rPr>
              <w:t xml:space="preserve"> </w:t>
            </w:r>
            <w:r>
              <w:rPr>
                <w:color w:val="000000"/>
                <w:lang w:val="en-US" w:eastAsia="zh-CN" w:bidi="ar"/>
              </w:rPr>
              <w:t xml:space="preserve">В</w:t>
            </w:r>
            <w:r>
              <w:rPr>
                <w:color w:val="000000"/>
                <w:lang w:val="en-US" w:eastAsia="zh-CN" w:bidi="ar"/>
              </w:rPr>
              <w:t xml:space="preserve">а</w:t>
            </w:r>
            <w:r>
              <w:rPr>
                <w:color w:val="000000"/>
                <w:lang w:val="en-US" w:eastAsia="zh-CN" w:bidi="ar"/>
              </w:rPr>
              <w:t xml:space="preserve">щ</w:t>
            </w:r>
            <w:r>
              <w:rPr>
                <w:color w:val="000000"/>
                <w:lang w:val="en-US" w:eastAsia="zh-CN" w:bidi="ar"/>
              </w:rPr>
              <w:t xml:space="preserve">у</w:t>
            </w:r>
            <w:r>
              <w:rPr>
                <w:color w:val="000000"/>
                <w:lang w:val="en-US" w:eastAsia="zh-CN" w:bidi="ar"/>
              </w:rPr>
              <w:t xml:space="preserve">к</w:t>
            </w:r>
            <w:r>
              <w:rPr>
                <w:color w:val="000000"/>
                <w:lang w:val="en-US" w:eastAsia="zh-CN" w:bidi="ar"/>
              </w:rPr>
              <w:t xml:space="preserve"> </w:t>
            </w:r>
            <w:r>
              <w:rPr>
                <w:color w:val="000000"/>
                <w:lang w:val="en-US" w:eastAsia="zh-CN" w:bidi="ar"/>
              </w:rPr>
              <w:t xml:space="preserve">В</w:t>
            </w:r>
            <w:r>
              <w:rPr>
                <w:color w:val="000000"/>
                <w:lang w:val="en-US" w:eastAsia="zh-CN" w:bidi="ar"/>
              </w:rPr>
              <w:t xml:space="preserve">.</w:t>
            </w:r>
            <w:r>
              <w:rPr>
                <w:color w:val="000000"/>
                <w:lang w:val="en-US" w:eastAsia="zh-CN" w:bidi="ar"/>
              </w:rPr>
              <w:t xml:space="preserve">А</w:t>
            </w:r>
            <w:r>
              <w:rPr>
                <w:color w:val="000000"/>
                <w:lang w:val="en-US" w:eastAsia="zh-CN" w:bidi="ar"/>
              </w:rPr>
              <w:t xml:space="preserve">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20"/>
        </w:trPr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245" w:type="dxa"/>
            <w:vAlign w:val="bottom"/>
            <w:textDirection w:val="lrTb"/>
            <w:noWrap/>
          </w:tcPr>
          <w:p>
            <w:pPr>
              <w:pStyle w:val="862"/>
              <w:spacing w:after="0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Ответственный исполнитель муниципальной программы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33" w:type="dxa"/>
            <w:vAlign w:val="bottom"/>
            <w:textDirection w:val="lrTb"/>
            <w:noWrap w:val="false"/>
          </w:tcPr>
          <w:p>
            <w:pPr>
              <w:pStyle w:val="862"/>
              <w:jc w:val="both"/>
              <w:spacing w:after="0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 </w:t>
            </w:r>
            <w:r>
              <w:rPr>
                <w:color w:val="000000"/>
                <w:lang w:eastAsia="zh-CN" w:bidi="ar"/>
              </w:rPr>
            </w:r>
            <w:r>
              <w:rPr>
                <w:color w:val="000000"/>
                <w:lang w:eastAsia="zh-CN" w:bidi="ar"/>
              </w:rPr>
            </w:r>
          </w:p>
          <w:p>
            <w:pPr>
              <w:pStyle w:val="862"/>
              <w:jc w:val="both"/>
              <w:spacing w:after="0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(далее - УПСХиРП)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245" w:type="dxa"/>
            <w:vAlign w:val="bottom"/>
            <w:textDirection w:val="lrTb"/>
            <w:noWrap/>
          </w:tcPr>
          <w:p>
            <w:pPr>
              <w:pStyle w:val="862"/>
              <w:spacing w:after="0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Период реализации муниципальной программы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33" w:type="dxa"/>
            <w:vAlign w:val="bottom"/>
            <w:textDirection w:val="lrTb"/>
            <w:noWrap/>
          </w:tcPr>
          <w:p>
            <w:pPr>
              <w:pStyle w:val="862"/>
              <w:jc w:val="both"/>
              <w:spacing w:after="0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2025-2030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245" w:type="dxa"/>
            <w:vAlign w:val="center"/>
            <w:textDirection w:val="lrTb"/>
            <w:noWrap/>
          </w:tcPr>
          <w:p>
            <w:pPr>
              <w:pStyle w:val="862"/>
              <w:spacing w:after="0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Цель муниципальной программы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33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Создание условий для устойчивого развития коренных малочисленных народов Севера </w:t>
              <w:tab/>
              <w:tab/>
              <w:tab/>
              <w:tab/>
              <w:tab/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3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245" w:type="dxa"/>
            <w:vAlign w:val="center"/>
            <w:textDirection w:val="lrTb"/>
            <w:noWrap/>
          </w:tcPr>
          <w:p>
            <w:pPr>
              <w:pStyle w:val="862"/>
              <w:spacing w:after="0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Направления (подпрограммы) муниципальной программы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7933" w:type="dxa"/>
            <w:vAlign w:val="center"/>
            <w:textDirection w:val="lrTb"/>
            <w:noWrap w:val="false"/>
          </w:tcPr>
          <w:p>
            <w:pPr>
              <w:pStyle w:val="862"/>
              <w:jc w:val="both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245" w:type="dxa"/>
            <w:vAlign w:val="center"/>
            <w:textDirection w:val="lrTb"/>
            <w:noWrap/>
          </w:tcPr>
          <w:p>
            <w:pPr>
              <w:pStyle w:val="862"/>
              <w:spacing w:after="0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Объемы финансового обеспечения за весь период реализации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33" w:type="dxa"/>
            <w:vAlign w:val="bottom"/>
            <w:textDirection w:val="lrTb"/>
            <w:noWrap/>
          </w:tcPr>
          <w:p>
            <w:pPr>
              <w:pStyle w:val="862"/>
              <w:jc w:val="both"/>
              <w:spacing w:after="0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</w:r>
            <w:r>
              <w:rPr>
                <w:sz w:val="22"/>
                <w:szCs w:val="22"/>
              </w:rPr>
              <w:t xml:space="preserve">42 528,3</w:t>
            </w:r>
            <w:r>
              <w:rPr>
                <w:color w:val="000000"/>
                <w:sz w:val="22"/>
                <w:szCs w:val="22"/>
                <w:lang w:eastAsia="zh-CN" w:bidi="ar"/>
              </w:rPr>
              <w:t xml:space="preserve"> т</w:t>
            </w:r>
            <w:r>
              <w:rPr>
                <w:color w:val="000000"/>
                <w:lang w:eastAsia="zh-CN" w:bidi="ar"/>
              </w:rPr>
              <w:t xml:space="preserve">ысяч рублей</w:t>
              <w:tab/>
            </w:r>
            <w:r>
              <w:rPr>
                <w:color w:val="000000"/>
                <w:lang w:eastAsia="zh-CN" w:bidi="ar"/>
              </w:rPr>
            </w:r>
            <w:r>
              <w:rPr>
                <w:color w:val="000000"/>
                <w:lang w:eastAsia="zh-CN" w:bidi="ar"/>
              </w:rPr>
            </w:r>
          </w:p>
        </w:tc>
      </w:tr>
      <w:tr>
        <w:tblPrEx/>
        <w:trPr>
          <w:trHeight w:val="82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245" w:type="dxa"/>
            <w:vAlign w:val="center"/>
            <w:textDirection w:val="lrTb"/>
            <w:noWrap w:val="false"/>
          </w:tcPr>
          <w:p>
            <w:pPr>
              <w:pStyle w:val="862"/>
              <w:spacing w:after="0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933" w:type="dxa"/>
            <w:vAlign w:val="center"/>
            <w:textDirection w:val="lrTb"/>
            <w:noWrap w:val="false"/>
          </w:tcPr>
          <w:p>
            <w:pPr>
              <w:pStyle w:val="862"/>
              <w:jc w:val="both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1. Реализация потенциала каждого человека, развитие его талантов, воспитание патриотичной и социально ответственной личности: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2"/>
              <w:jc w:val="both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1.1. показатель «Создание условий для воспитания гармонично развитой патриотичной и социально ответственной личности на основе традиционных российских духовно-нравственных и культурно-исторических ценностей»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2"/>
              <w:jc w:val="both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2. Государственная программа Ханты-Мансийс</w:t>
            </w:r>
            <w:r>
              <w:rPr>
                <w:color w:val="000000"/>
              </w:rPr>
              <w:t xml:space="preserve">кого автономного округа - Югры «</w:t>
            </w:r>
            <w:r>
              <w:rPr>
                <w:color w:val="000000"/>
              </w:rPr>
              <w:t xml:space="preserve">Устойчивое развитие коренных м</w:t>
            </w:r>
            <w:r>
              <w:rPr>
                <w:color w:val="000000"/>
              </w:rPr>
              <w:t xml:space="preserve">алочисленных народов Севера»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2"/>
        <w:jc w:val="center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6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6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6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Показатели муниципальной программы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W w:w="1532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63"/>
        <w:gridCol w:w="2070"/>
        <w:gridCol w:w="1200"/>
        <w:gridCol w:w="1155"/>
        <w:gridCol w:w="720"/>
        <w:gridCol w:w="660"/>
        <w:gridCol w:w="690"/>
        <w:gridCol w:w="675"/>
        <w:gridCol w:w="720"/>
        <w:gridCol w:w="735"/>
        <w:gridCol w:w="690"/>
        <w:gridCol w:w="2280"/>
        <w:gridCol w:w="1549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885"/>
          <w:tblHeader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763" w:type="dxa"/>
            <w:vAlign w:val="center"/>
            <w:vMerge w:val="restart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№</w:t>
            </w: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 п/п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Наименование показателя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200" w:type="dxa"/>
            <w:vAlign w:val="center"/>
            <w:vMerge w:val="restart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rStyle w:val="893"/>
                <w:sz w:val="18"/>
                <w:szCs w:val="18"/>
                <w:lang w:val="en-US" w:eastAsia="zh-CN" w:bidi="ar"/>
              </w:rPr>
              <w:t xml:space="preserve">Единица измерения (по </w:t>
            </w:r>
            <w:r>
              <w:rPr>
                <w:rStyle w:val="894"/>
                <w:sz w:val="18"/>
                <w:szCs w:val="18"/>
                <w:lang w:val="en-US" w:eastAsia="zh-CN" w:bidi="ar"/>
              </w:rPr>
              <w:t xml:space="preserve">ОКЕИ)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/>
          </w:tcPr>
          <w:p>
            <w:pPr>
              <w:pStyle w:val="862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t xml:space="preserve">Базовое значение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tcW w:w="4170" w:type="dxa"/>
            <w:vAlign w:val="center"/>
            <w:textDirection w:val="lrTb"/>
            <w:noWrap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Значение показателя по годам</w:t>
            </w:r>
            <w:r>
              <w:rPr>
                <w:color w:val="000000"/>
                <w:sz w:val="18"/>
                <w:szCs w:val="18"/>
                <w:lang w:val="en-US" w:eastAsia="zh-CN" w:bidi="ar"/>
              </w:rPr>
            </w:r>
            <w:r>
              <w:rPr>
                <w:color w:val="000000"/>
                <w:sz w:val="18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80" w:type="dxa"/>
            <w:vAlign w:val="center"/>
            <w:textDirection w:val="lrTb"/>
            <w:noWrap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Документ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549" w:type="dxa"/>
            <w:vAlign w:val="center"/>
            <w:textDirection w:val="lrTb"/>
            <w:noWrap/>
          </w:tcPr>
          <w:p>
            <w:pPr>
              <w:pStyle w:val="862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fldChar w:fldCharType="begin"/>
            </w:r>
            <w:r>
              <w:rPr>
                <w:sz w:val="18"/>
                <w:szCs w:val="18"/>
                <w:lang w:val="en-US" w:eastAsia="zh-CN" w:bidi="ar"/>
              </w:rPr>
              <w:instrText xml:space="preserve"> HYPERLINK "" \l "_ftn3" </w:instrText>
            </w:r>
            <w:r>
              <w:rPr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Style w:val="873"/>
                <w:color w:val="000000"/>
                <w:sz w:val="18"/>
                <w:szCs w:val="18"/>
                <w:u w:val="none"/>
              </w:rPr>
              <w:t xml:space="preserve">Ответственный за достижение показателя</w:t>
            </w:r>
            <w:r>
              <w:rPr>
                <w:sz w:val="18"/>
                <w:szCs w:val="18"/>
                <w:lang w:val="en-US" w:eastAsia="zh-CN" w:bidi="ar"/>
              </w:rPr>
              <w:fldChar w:fldCharType="end"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62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 w:bidi="ar"/>
              </w:rPr>
              <w:fldChar w:fldCharType="begin"/>
            </w:r>
            <w:r>
              <w:rPr>
                <w:sz w:val="18"/>
                <w:szCs w:val="18"/>
                <w:lang w:eastAsia="zh-CN" w:bidi="ar"/>
              </w:rPr>
              <w:instrText xml:space="preserve"> </w:instrText>
            </w:r>
            <w:r>
              <w:rPr>
                <w:sz w:val="18"/>
                <w:szCs w:val="18"/>
                <w:lang w:val="en-US" w:eastAsia="zh-CN" w:bidi="ar"/>
              </w:rPr>
              <w:instrText xml:space="preserve">HYPERLINK</w:instrText>
            </w:r>
            <w:r>
              <w:rPr>
                <w:sz w:val="18"/>
                <w:szCs w:val="18"/>
                <w:lang w:eastAsia="zh-CN" w:bidi="ar"/>
              </w:rPr>
              <w:instrText xml:space="preserve"> "" \</w:instrText>
            </w:r>
            <w:r>
              <w:rPr>
                <w:sz w:val="18"/>
                <w:szCs w:val="18"/>
                <w:lang w:val="en-US" w:eastAsia="zh-CN" w:bidi="ar"/>
              </w:rPr>
              <w:instrText xml:space="preserve">l</w:instrText>
            </w:r>
            <w:r>
              <w:rPr>
                <w:sz w:val="18"/>
                <w:szCs w:val="18"/>
                <w:lang w:eastAsia="zh-CN" w:bidi="ar"/>
              </w:rPr>
              <w:instrText xml:space="preserve"> "_</w:instrText>
            </w:r>
            <w:r>
              <w:rPr>
                <w:sz w:val="18"/>
                <w:szCs w:val="18"/>
                <w:lang w:val="en-US" w:eastAsia="zh-CN" w:bidi="ar"/>
              </w:rPr>
              <w:instrText xml:space="preserve">ftn</w:instrText>
            </w:r>
            <w:r>
              <w:rPr>
                <w:sz w:val="18"/>
                <w:szCs w:val="18"/>
                <w:lang w:eastAsia="zh-CN" w:bidi="ar"/>
              </w:rPr>
              <w:instrText xml:space="preserve">4" </w:instrText>
            </w:r>
            <w:r>
              <w:rPr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Style w:val="873"/>
                <w:color w:val="000000"/>
                <w:sz w:val="18"/>
                <w:szCs w:val="18"/>
                <w:u w:val="none"/>
              </w:rPr>
              <w:t xml:space="preserve">Связь с показателями национальных целей</w:t>
            </w:r>
            <w:r>
              <w:rPr>
                <w:sz w:val="18"/>
                <w:szCs w:val="18"/>
                <w:lang w:val="en-US" w:eastAsia="zh-CN" w:bidi="ar"/>
              </w:rPr>
              <w:fldChar w:fldCharType="end"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00"/>
          <w:tblHeader/>
        </w:trPr>
        <w:tc>
          <w:tcPr>
            <w:tcBorders>
              <w:top w:val="none" w:color="000000" w:sz="4" w:space="0"/>
            </w:tcBorders>
            <w:tcW w:w="763" w:type="dxa"/>
            <w:vAlign w:val="center"/>
            <w:vMerge w:val="continue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2070" w:type="dxa"/>
            <w:vAlign w:val="center"/>
            <w:vMerge w:val="continue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1200" w:type="dxa"/>
            <w:vAlign w:val="center"/>
            <w:vMerge w:val="continue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значение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735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2030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2280" w:type="dxa"/>
            <w:vAlign w:val="center"/>
            <w:textDirection w:val="lrTb"/>
            <w:noWrap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1549" w:type="dxa"/>
            <w:vAlign w:val="center"/>
            <w:textDirection w:val="lrTb"/>
            <w:noWrap/>
          </w:tcPr>
          <w:p>
            <w:pPr>
              <w:pStyle w:val="862"/>
              <w:jc w:val="center"/>
              <w:spacing w:after="0" w:line="240" w:lineRule="auto"/>
              <w:rPr>
                <w:color w:val="0000ff"/>
                <w:sz w:val="18"/>
                <w:szCs w:val="18"/>
                <w:u w:val="single"/>
              </w:rPr>
            </w:pPr>
            <w:r>
              <w:rPr>
                <w:color w:val="0000ff"/>
                <w:sz w:val="18"/>
                <w:szCs w:val="18"/>
                <w:u w:val="single"/>
              </w:rPr>
            </w:r>
            <w:r>
              <w:rPr>
                <w:color w:val="0000ff"/>
                <w:sz w:val="18"/>
                <w:szCs w:val="18"/>
                <w:u w:val="single"/>
              </w:rPr>
            </w:r>
            <w:r>
              <w:rPr>
                <w:color w:val="0000ff"/>
                <w:sz w:val="18"/>
                <w:szCs w:val="18"/>
                <w:u w:val="single"/>
              </w:rPr>
            </w:r>
          </w:p>
        </w:tc>
        <w:tc>
          <w:tcPr>
            <w:tcBorders>
              <w:top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62"/>
              <w:jc w:val="center"/>
              <w:spacing w:after="0" w:line="240" w:lineRule="auto"/>
              <w:rPr>
                <w:color w:val="0000ff"/>
                <w:sz w:val="18"/>
                <w:szCs w:val="18"/>
                <w:u w:val="single"/>
              </w:rPr>
            </w:pPr>
            <w:r>
              <w:rPr>
                <w:color w:val="0000ff"/>
                <w:sz w:val="18"/>
                <w:szCs w:val="18"/>
                <w:u w:val="single"/>
              </w:rPr>
            </w:r>
            <w:r>
              <w:rPr>
                <w:color w:val="0000ff"/>
                <w:sz w:val="18"/>
                <w:szCs w:val="18"/>
                <w:u w:val="single"/>
              </w:rPr>
            </w:r>
            <w:r>
              <w:rPr>
                <w:color w:val="0000ff"/>
                <w:sz w:val="18"/>
                <w:szCs w:val="18"/>
                <w:u w:val="singl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00"/>
          <w:tblHeader/>
        </w:trPr>
        <w:tc>
          <w:tcPr>
            <w:tcW w:w="763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0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55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35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28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gridSpan w:val="14"/>
            <w:tcW w:w="15324" w:type="dxa"/>
            <w:vAlign w:val="center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sz w:val="18"/>
                <w:szCs w:val="18"/>
                <w:highlight w:val="yellow"/>
                <w:lang w:eastAsia="zh-CN" w:bidi="ar"/>
              </w:rPr>
            </w:pPr>
            <w:r>
              <w:rPr>
                <w:sz w:val="18"/>
                <w:szCs w:val="18"/>
                <w:lang w:eastAsia="zh-CN" w:bidi="ar"/>
              </w:rPr>
              <w:t xml:space="preserve">Цель «</w:t>
            </w:r>
            <w:r>
              <w:rPr>
                <w:sz w:val="18"/>
                <w:szCs w:val="18"/>
                <w:lang w:eastAsia="zh-CN" w:bidi="ar"/>
              </w:rPr>
              <w:t xml:space="preserve">Создание условий для устойчивого развития коренн</w:t>
            </w:r>
            <w:r>
              <w:rPr>
                <w:sz w:val="18"/>
                <w:szCs w:val="18"/>
                <w:lang w:eastAsia="zh-CN" w:bidi="ar"/>
              </w:rPr>
              <w:t xml:space="preserve">ых малочисленных народов Севера»</w:t>
            </w:r>
            <w:r>
              <w:rPr>
                <w:sz w:val="18"/>
                <w:szCs w:val="18"/>
                <w:highlight w:val="yellow"/>
                <w:lang w:eastAsia="zh-CN" w:bidi="ar"/>
              </w:rPr>
            </w:r>
            <w:r>
              <w:rPr>
                <w:sz w:val="18"/>
                <w:szCs w:val="18"/>
                <w:highlight w:val="yellow"/>
                <w:lang w:eastAsia="zh-CN" w:bidi="ar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30"/>
        </w:trPr>
        <w:tc>
          <w:tcPr>
            <w:tcW w:w="763" w:type="dxa"/>
            <w:vAlign w:val="center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получателей мер государственной поддержки в сфере развития коренных малочисленных народов Севера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00" w:type="dxa"/>
            <w:vAlign w:val="center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человек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55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35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280" w:type="dxa"/>
            <w:vAlign w:val="top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ХМАО - Югры от 10.11.2023</w:t>
            </w:r>
            <w:r>
              <w:rPr>
                <w:color w:val="000000"/>
                <w:sz w:val="18"/>
                <w:szCs w:val="18"/>
              </w:rPr>
              <w:t xml:space="preserve">      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№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547-п «</w:t>
            </w:r>
            <w:r>
              <w:rPr>
                <w:color w:val="000000"/>
                <w:sz w:val="18"/>
                <w:szCs w:val="18"/>
              </w:rPr>
              <w:t xml:space="preserve">О государственной программе Ханты-Мансийского автоном</w:t>
            </w:r>
            <w:r>
              <w:rPr>
                <w:color w:val="000000"/>
                <w:sz w:val="18"/>
                <w:szCs w:val="18"/>
              </w:rPr>
              <w:t xml:space="preserve">ного округа - Югры «</w:t>
            </w:r>
            <w:r>
              <w:rPr>
                <w:color w:val="000000"/>
                <w:sz w:val="18"/>
                <w:szCs w:val="18"/>
              </w:rPr>
              <w:t xml:space="preserve">Устойчивое развитие коренн</w:t>
            </w:r>
            <w:r>
              <w:rPr>
                <w:color w:val="000000"/>
                <w:sz w:val="18"/>
                <w:szCs w:val="18"/>
              </w:rPr>
              <w:t xml:space="preserve">ых малочисленных народов Севера»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7"/>
        </w:trPr>
        <w:tc>
          <w:tcPr>
            <w:tcW w:w="763" w:type="dxa"/>
            <w:vAlign w:val="center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граждан из числа коренн</w:t>
            </w:r>
            <w:r>
              <w:rPr>
                <w:color w:val="000000"/>
                <w:sz w:val="18"/>
                <w:szCs w:val="18"/>
              </w:rPr>
              <w:t xml:space="preserve">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в общем количестве опрошенных лиц, относящихся к коренным малочисленным народам &lt;*&gt;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00" w:type="dxa"/>
            <w:vAlign w:val="center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процент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55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83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35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280" w:type="dxa"/>
            <w:vAlign w:val="top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РФ от 29.12.2016 </w:t>
            </w:r>
            <w:r>
              <w:rPr>
                <w:color w:val="000000"/>
                <w:sz w:val="18"/>
                <w:szCs w:val="18"/>
              </w:rPr>
              <w:t xml:space="preserve">№ 1532 «</w:t>
            </w:r>
            <w:r>
              <w:rPr>
                <w:color w:val="000000"/>
                <w:sz w:val="18"/>
                <w:szCs w:val="18"/>
              </w:rPr>
              <w:t xml:space="preserve">Об утверждении государственной программы Российск</w:t>
            </w:r>
            <w:r>
              <w:rPr>
                <w:color w:val="000000"/>
                <w:sz w:val="18"/>
                <w:szCs w:val="18"/>
              </w:rPr>
              <w:t xml:space="preserve">ой Федерации «</w:t>
            </w:r>
            <w:r>
              <w:rPr>
                <w:color w:val="000000"/>
                <w:sz w:val="18"/>
                <w:szCs w:val="18"/>
              </w:rPr>
              <w:t xml:space="preserve">Реализация госуда</w:t>
            </w:r>
            <w:r>
              <w:rPr>
                <w:color w:val="000000"/>
                <w:sz w:val="18"/>
                <w:szCs w:val="18"/>
              </w:rPr>
              <w:t xml:space="preserve">рственной национальной политики»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88"/>
        </w:trPr>
        <w:tc>
          <w:tcPr>
            <w:tcW w:w="763" w:type="dxa"/>
            <w:vAlign w:val="center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мероприятий, направленных на сохранение культурного наследия коренных малочисленных народов Севера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00" w:type="dxa"/>
            <w:vAlign w:val="center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единиц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55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35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280" w:type="dxa"/>
            <w:vAlign w:val="top"/>
            <w:textDirection w:val="lrTb"/>
            <w:noWrap w:val="false"/>
          </w:tcPr>
          <w:p>
            <w:pPr>
              <w:pStyle w:val="862"/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Решение Думы Белоярского района  о</w:t>
            </w:r>
            <w:r>
              <w:rPr>
                <w:color w:val="000000"/>
                <w:sz w:val="18"/>
                <w:szCs w:val="18"/>
              </w:rPr>
              <w:t xml:space="preserve">т 29  октября 2014 года  № 484 «</w:t>
            </w:r>
            <w:r>
              <w:rPr>
                <w:color w:val="000000"/>
                <w:sz w:val="18"/>
                <w:szCs w:val="18"/>
              </w:rPr>
              <w:t xml:space="preserve">Об утверждении Стратегии социально-экономического развития </w:t>
            </w:r>
            <w:r>
              <w:rPr>
                <w:color w:val="000000"/>
                <w:sz w:val="18"/>
                <w:szCs w:val="18"/>
              </w:rPr>
              <w:t xml:space="preserve">Белоярского района до 2036 года»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Комитет по культуре администрации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65"/>
        </w:trPr>
        <w:tc>
          <w:tcPr>
            <w:tcW w:w="763" w:type="dxa"/>
            <w:vAlign w:val="center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торговых объе</w:t>
            </w:r>
            <w:r>
              <w:rPr>
                <w:color w:val="000000"/>
                <w:sz w:val="18"/>
                <w:szCs w:val="18"/>
              </w:rPr>
              <w:t xml:space="preserve">ктов в труднодоступных и отдаленных поселениях Белоярского района д.Нумто, д.Юильск, д.Пашторы, с.Тугияны, обеспечивающих жителей в местах традиционного проживания и традиционной хозяйственной деятельности продовольственными и непродовольственными товарами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00" w:type="dxa"/>
            <w:vAlign w:val="center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единиц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55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6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35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280" w:type="dxa"/>
            <w:vAlign w:val="top"/>
            <w:textDirection w:val="lrTb"/>
            <w:noWrap w:val="false"/>
          </w:tcPr>
          <w:p>
            <w:pPr>
              <w:pStyle w:val="862"/>
              <w:spacing w:after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Решение Думы Белоярского района  о</w:t>
            </w:r>
            <w:r>
              <w:rPr>
                <w:color w:val="000000"/>
                <w:sz w:val="18"/>
                <w:szCs w:val="18"/>
              </w:rPr>
              <w:t xml:space="preserve">т 29  октября 2014 года  № 484 «</w:t>
            </w:r>
            <w:r>
              <w:rPr>
                <w:color w:val="000000"/>
                <w:sz w:val="18"/>
                <w:szCs w:val="18"/>
              </w:rPr>
              <w:t xml:space="preserve">Об утверждении Стратегии социально-экономического развития </w:t>
            </w:r>
            <w:r>
              <w:rPr>
                <w:color w:val="000000"/>
                <w:sz w:val="18"/>
                <w:szCs w:val="18"/>
              </w:rPr>
              <w:t xml:space="preserve">Белоярского района до 2036 года»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49" w:type="dxa"/>
            <w:vAlign w:val="center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4"/>
        </w:trPr>
        <w:tc>
          <w:tcPr>
            <w:gridSpan w:val="14"/>
            <w:tcBorders>
              <w:bottom w:val="single" w:color="000000" w:sz="4" w:space="0"/>
            </w:tcBorders>
            <w:tcW w:w="15324" w:type="dxa"/>
            <w:vAlign w:val="center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color w:val="000000"/>
                <w:sz w:val="18"/>
                <w:szCs w:val="18"/>
                <w:lang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&lt;*&gt; коренные малочисленные народы Севера, Сибири и Дальнего Востока Российской Федерации</w:t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</w:p>
        </w:tc>
      </w:tr>
    </w:tbl>
    <w:p>
      <w:pPr>
        <w:pStyle w:val="862"/>
      </w:pPr>
      <w:r/>
      <w:r/>
    </w:p>
    <w:p>
      <w:pPr>
        <w:pStyle w:val="862"/>
      </w:pPr>
      <w:r/>
      <w:r/>
    </w:p>
    <w:p>
      <w:pPr>
        <w:pStyle w:val="862"/>
      </w:pPr>
      <w:r/>
      <w:r/>
    </w:p>
    <w:p>
      <w:pPr>
        <w:pStyle w:val="862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Структура муниципальной программы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532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63"/>
        <w:gridCol w:w="3315"/>
        <w:gridCol w:w="6411"/>
        <w:gridCol w:w="4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763" w:type="dxa"/>
            <w:vAlign w:val="center"/>
            <w:textDirection w:val="lrTb"/>
            <w:noWrap/>
          </w:tcPr>
          <w:p>
            <w:pPr>
              <w:pStyle w:val="862"/>
              <w:jc w:val="center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№</w:t>
            </w:r>
            <w:r>
              <w:rPr>
                <w:color w:val="000000"/>
                <w:lang w:val="en-US" w:eastAsia="zh-CN" w:bidi="ar"/>
              </w:rPr>
              <w:t xml:space="preserve"> п/п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315" w:type="dxa"/>
            <w:vAlign w:val="center"/>
            <w:textDirection w:val="lrTb"/>
            <w:noWrap/>
          </w:tcPr>
          <w:p>
            <w:pPr>
              <w:pStyle w:val="862"/>
              <w:jc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Задачи структурного элемента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411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Краткое описание ожидаемых эффектов от реализации задачи структурного элемента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835" w:type="dxa"/>
            <w:vAlign w:val="center"/>
            <w:textDirection w:val="lrTb"/>
            <w:noWrap/>
          </w:tcPr>
          <w:p>
            <w:pPr>
              <w:pStyle w:val="862"/>
              <w:jc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Связь с показателями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4"/>
          <w:tblHeader/>
        </w:trPr>
        <w:tc>
          <w:tcPr>
            <w:tcW w:w="763" w:type="dxa"/>
            <w:vAlign w:val="bottom"/>
            <w:textDirection w:val="lrTb"/>
            <w:noWrap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315" w:type="dxa"/>
            <w:vAlign w:val="bottom"/>
            <w:textDirection w:val="lrTb"/>
            <w:noWrap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411" w:type="dxa"/>
            <w:vAlign w:val="bottom"/>
            <w:textDirection w:val="lrTb"/>
            <w:noWrap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835" w:type="dxa"/>
            <w:vAlign w:val="bottom"/>
            <w:textDirection w:val="lrTb"/>
            <w:noWrap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9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3"/>
            <w:tcW w:w="14561" w:type="dxa"/>
            <w:vAlign w:val="top"/>
            <w:textDirection w:val="lrTb"/>
            <w:noWrap/>
          </w:tcPr>
          <w:p>
            <w:pPr>
              <w:pStyle w:val="862"/>
              <w:spacing w:after="0" w:line="240" w:lineRule="auto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  <w:t xml:space="preserve">Комплекс процессных мероприятий «Осуществление органами местного самоуправления отдельных государственных полномочий»</w:t>
            </w:r>
            <w:r>
              <w:rPr>
                <w:color w:val="000000"/>
                <w:lang w:eastAsia="zh-CN" w:bidi="ar"/>
              </w:rPr>
            </w:r>
            <w:r>
              <w:rPr>
                <w:color w:val="000000"/>
                <w:lang w:eastAsia="zh-CN" w:bidi="ar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6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315" w:type="dxa"/>
            <w:vAlign w:val="top"/>
            <w:textDirection w:val="lrTb"/>
            <w:noWrap/>
          </w:tcPr>
          <w:p>
            <w:pPr>
              <w:pStyle w:val="862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Ответственный за реализацию: УПСХиРП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411" w:type="dxa"/>
            <w:vAlign w:val="top"/>
            <w:textDirection w:val="lrTb"/>
            <w:noWrap/>
          </w:tcPr>
          <w:p>
            <w:pPr>
              <w:pStyle w:val="862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Срок реализации: 2025-2030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835" w:type="dxa"/>
            <w:vAlign w:val="top"/>
            <w:textDirection w:val="lrTb"/>
            <w:noWrap/>
          </w:tcPr>
          <w:p>
            <w:pPr>
              <w:pStyle w:val="862"/>
              <w:spacing w:after="0" w:line="240" w:lineRule="auto"/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</w:r>
            <w:r>
              <w:rPr>
                <w:color w:val="000000"/>
                <w:lang w:val="en-US" w:eastAsia="zh-CN" w:bidi="ar"/>
              </w:rPr>
            </w:r>
            <w:r>
              <w:rPr>
                <w:color w:val="000000"/>
                <w:lang w:val="en-US" w:eastAsia="zh-CN" w:bidi="ar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62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862"/>
              <w:jc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1.1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315" w:type="dxa"/>
            <w:vAlign w:val="top"/>
            <w:textDirection w:val="lrTb"/>
            <w:noWrap w:val="false"/>
          </w:tcPr>
          <w:p>
            <w:pPr>
              <w:pStyle w:val="862"/>
              <w:rPr>
                <w:color w:val="000000"/>
              </w:rPr>
            </w:pPr>
            <w:r>
              <w:rPr>
                <w:color w:val="000000"/>
              </w:rPr>
              <w:t xml:space="preserve">О</w:t>
            </w:r>
            <w:r>
              <w:rPr>
                <w:color w:val="000000"/>
              </w:rPr>
              <w:t xml:space="preserve">существление отдельного государственного полномочия по участию в реализации государственной программы Ханты-Мансийского автономного округа – Югры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Устойчивое развитие коренных малочисленных народов </w:t>
            </w:r>
            <w:r>
              <w:rPr>
                <w:color w:val="000000"/>
              </w:rPr>
              <w:t xml:space="preserve">Севера»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411" w:type="dxa"/>
            <w:vAlign w:val="top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оказана государственная поддержка юридическим и физическим лицам из числа коренных малочисленных народов Севера по следующим направлениям: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субсидия на обустройство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компенсация расходов на приобретение материально-технических средств;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компенсация расходов на приобретение северных оленей;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субсидия на продукцию охоты;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единовременная финансовая помощь молодым специалистам из числа коренных малочисленных народов Севера, рабо</w:t>
            </w:r>
            <w:r>
              <w:rPr>
                <w:color w:val="000000"/>
              </w:rPr>
              <w:t xml:space="preserve">тающим в местах традиционного проживания и традиционной хозяйственной деятельности (далее - молодые специалисты), на обустройство быта;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компенсация расходов на оплату обучения правилам безопасного обращения с оружием, управлению </w:t>
            </w:r>
            <w:r>
              <w:rPr>
                <w:color w:val="000000"/>
              </w:rPr>
              <w:t xml:space="preserve">самоходными машинами категории «А»</w:t>
            </w:r>
            <w:r>
              <w:rPr>
                <w:color w:val="000000"/>
              </w:rPr>
              <w:t xml:space="preserve">, управлению маломерными судами и на оплату проезда к месту нахождения организаций, имеющих право проводить указанные виды обучения, и обратно;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субсидия на возмещение затрат на оплату коммунальных услуг, понесенных в ходе заготовки и переработки продукции традиционной хозяйственной деятельности.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835" w:type="dxa"/>
            <w:vAlign w:val="top"/>
            <w:textDirection w:val="lrTb"/>
            <w:noWrap w:val="false"/>
          </w:tcPr>
          <w:p>
            <w:pPr>
              <w:pStyle w:val="862"/>
              <w:rPr>
                <w:color w:val="000000"/>
              </w:rPr>
            </w:pPr>
            <w:r>
              <w:rPr>
                <w:color w:val="000000"/>
              </w:rPr>
              <w:t xml:space="preserve">Количество получателей мер государственной поддержки в сфере развития коренных малочисленных народов Севера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3"/>
            <w:tcW w:w="14561" w:type="dxa"/>
            <w:vAlign w:val="top"/>
            <w:textDirection w:val="lrTb"/>
            <w:noWrap/>
          </w:tcPr>
          <w:p>
            <w:pPr>
              <w:pStyle w:val="86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«Содействие в проведении мероприятий, направленных на сохранение культурного наследия коренных малочисленных народов»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315" w:type="dxa"/>
            <w:vAlign w:val="top"/>
            <w:textDirection w:val="lrTb"/>
            <w:noWrap/>
          </w:tcPr>
          <w:p>
            <w:pPr>
              <w:pStyle w:val="862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Ответственный за реализацию: Комитет по культуре администрации Белоярского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411" w:type="dxa"/>
            <w:vAlign w:val="top"/>
            <w:textDirection w:val="lrTb"/>
            <w:noWrap/>
          </w:tcPr>
          <w:p>
            <w:pPr>
              <w:pStyle w:val="862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Срок реализации: 2025-2030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835" w:type="dxa"/>
            <w:vAlign w:val="top"/>
            <w:textDirection w:val="lrTb"/>
            <w:noWrap/>
          </w:tcPr>
          <w:p>
            <w:pPr>
              <w:pStyle w:val="86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4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2.1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315" w:type="dxa"/>
            <w:vAlign w:val="top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Содействие развитию и популяризации традиционной культуры коренных малочисленных народов Севера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411" w:type="dxa"/>
            <w:vAlign w:val="top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организованы и  </w:t>
            </w:r>
            <w:r>
              <w:rPr>
                <w:color w:val="000000"/>
              </w:rPr>
              <w:t xml:space="preserve">проведены национальные праздники «День оленевода», «День рыбака» в местах традиционной хозяйственной деятельности коренных малочисленных народов Севера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835" w:type="dxa"/>
            <w:vAlign w:val="top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Количество мероприятий, направленных на сохранение культурного наследия коренных малочисленных народов Севера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3"/>
            <w:tcW w:w="14561" w:type="dxa"/>
            <w:vAlign w:val="top"/>
            <w:textDirection w:val="lrTb"/>
            <w:noWrap/>
          </w:tcPr>
          <w:p>
            <w:pPr>
              <w:pStyle w:val="86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</w:t>
            </w:r>
            <w:r>
              <w:rPr>
                <w:color w:val="000000"/>
              </w:rPr>
              <w:t xml:space="preserve">риятий «Содействие в обеспечении</w:t>
            </w:r>
            <w:r>
              <w:rPr>
                <w:color w:val="000000"/>
              </w:rPr>
              <w:t xml:space="preserve"> жителей Белоярского района, проживающих в местах традиционного проживания и традиционной хозяйственной деятельности коренных малочисленных народов Севера, продовольственными и непродовольственными товарами»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315" w:type="dxa"/>
            <w:vAlign w:val="top"/>
            <w:textDirection w:val="lrTb"/>
            <w:noWrap/>
          </w:tcPr>
          <w:p>
            <w:pPr>
              <w:pStyle w:val="862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Ответст</w:t>
            </w:r>
            <w:r>
              <w:rPr>
                <w:color w:val="000000"/>
                <w:lang w:eastAsia="zh-CN" w:bidi="ar"/>
              </w:rPr>
              <w:t xml:space="preserve">венные за реализацию: УПСХиРП, У</w:t>
            </w:r>
            <w:r>
              <w:rPr>
                <w:color w:val="000000"/>
                <w:lang w:eastAsia="zh-CN" w:bidi="ar"/>
              </w:rPr>
              <w:t xml:space="preserve">правление капитального строительства администрации Белоярского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411" w:type="dxa"/>
            <w:vAlign w:val="top"/>
            <w:textDirection w:val="lrTb"/>
            <w:noWrap/>
          </w:tcPr>
          <w:p>
            <w:pPr>
              <w:pStyle w:val="862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Срок реализации: 2025-2030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835" w:type="dxa"/>
            <w:vAlign w:val="top"/>
            <w:textDirection w:val="lrTb"/>
            <w:noWrap/>
          </w:tcPr>
          <w:p>
            <w:pPr>
              <w:pStyle w:val="86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90"/>
        </w:trPr>
        <w:tc>
          <w:tcPr>
            <w:tcW w:w="763" w:type="dxa"/>
            <w:vAlign w:val="top"/>
            <w:textDirection w:val="lrTb"/>
            <w:noWrap/>
          </w:tcPr>
          <w:p>
            <w:pPr>
              <w:pStyle w:val="862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 xml:space="preserve">3.1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315" w:type="dxa"/>
            <w:vAlign w:val="top"/>
            <w:textDirection w:val="lrTb"/>
            <w:noWrap w:val="false"/>
          </w:tcPr>
          <w:p>
            <w:pPr>
              <w:pStyle w:val="89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Создание условий для повышения доступности торговых услуг в местах традиционного проживания и традиционной хозяйственной деятельности коренных малочисленных народов Севера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pStyle w:val="86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411" w:type="dxa"/>
            <w:vAlign w:val="top"/>
            <w:textDirection w:val="lrTb"/>
            <w:noWrap w:val="false"/>
          </w:tcPr>
          <w:p>
            <w:pPr>
              <w:pStyle w:val="89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наличие 2 (двух) торговых объектов в труднодоступных и отдаленных поселениях Белоярского района д. Нумто, д. Юильск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pStyle w:val="89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наличие 2 (двух) торговых объектов в труднодоступных и отдаленных поселениях Белоярского района д. Пашторы, с. Тугияны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pStyle w:val="89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проведены проектно-изыскательные работы и монтаж модульного здания в д. Нумто для размещения магазина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W w:w="4835" w:type="dxa"/>
            <w:vAlign w:val="top"/>
            <w:textDirection w:val="lrTb"/>
            <w:noWrap w:val="false"/>
          </w:tcPr>
          <w:p>
            <w:pPr>
              <w:pStyle w:val="89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Количество торговых объектов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 в труднодоступных и отдаленных поселениях Белоярского района д. Нумто, д. Юильск, д. Пашторы, с. Тугияны, обеспечивающих жителей в местах традиционного проживания и традиционной хозяйственной деятельности продовольственными и непродовольственными товарами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</w:tbl>
    <w:p>
      <w:pPr>
        <w:pStyle w:val="86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62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62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62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2"/>
        <w:jc w:val="center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Финансовое обеспечение муниципальной программы</w:t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45"/>
        <w:gridCol w:w="7089"/>
        <w:gridCol w:w="945"/>
        <w:gridCol w:w="945"/>
        <w:gridCol w:w="945"/>
        <w:gridCol w:w="945"/>
        <w:gridCol w:w="945"/>
        <w:gridCol w:w="945"/>
        <w:gridCol w:w="945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9" w:type="dxa"/>
            <w:vAlign w:val="bottom"/>
            <w:vMerge w:val="restart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1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Объем финансового обеспечения по годам, тыс. рублей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86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9" w:type="dxa"/>
            <w:vAlign w:val="bottom"/>
            <w:vMerge w:val="continue"/>
            <w:textDirection w:val="lrTb"/>
            <w:noWrap w:val="false"/>
          </w:tcPr>
          <w:p>
            <w:pPr>
              <w:pStyle w:val="86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2025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2026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2027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2028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2029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2030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Всего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vMerge w:val="restart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9" w:type="dxa"/>
            <w:vAlign w:val="bottom"/>
            <w:textDirection w:val="lrTb"/>
            <w:noWrap w:val="false"/>
          </w:tcPr>
          <w:p>
            <w:pPr>
              <w:pStyle w:val="862"/>
              <w:ind w:left="113"/>
              <w:spacing w:after="0" w:afterAutospacing="0"/>
              <w:shd w:val="clear" w:color="ffffff" w:fill="ffffff"/>
              <w:rPr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Муниципальная программа «Социально-экономическое развитие коренных малочисленных народов Севера» 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3 173,3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9 631,0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7 431,0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7 431,0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7 431,0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7 431,0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42 528,3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vMerge w:val="continue"/>
            <w:textDirection w:val="lrTb"/>
            <w:noWrap w:val="false"/>
          </w:tcPr>
          <w:p>
            <w:pPr>
              <w:pStyle w:val="86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9" w:type="dxa"/>
            <w:vAlign w:val="bottom"/>
            <w:textDirection w:val="lrTb"/>
            <w:noWrap w:val="false"/>
          </w:tcPr>
          <w:p>
            <w:pPr>
              <w:pStyle w:val="862"/>
              <w:ind w:left="113"/>
              <w:spacing w:after="0" w:afterAutospacing="0"/>
              <w:shd w:val="clear" w:color="ffffff" w:fill="ffffff"/>
              <w:rPr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1 473,3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7 431,0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7 431,0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7 431,0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7 431,0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7 431,0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38 628,3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vMerge w:val="continue"/>
            <w:textDirection w:val="lrTb"/>
            <w:noWrap w:val="false"/>
          </w:tcPr>
          <w:p>
            <w:pPr>
              <w:pStyle w:val="86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9" w:type="dxa"/>
            <w:vAlign w:val="bottom"/>
            <w:textDirection w:val="lrTb"/>
            <w:noWrap w:val="false"/>
          </w:tcPr>
          <w:p>
            <w:pPr>
              <w:pStyle w:val="862"/>
              <w:ind w:left="113"/>
              <w:spacing w:after="0" w:afterAutospacing="0"/>
              <w:shd w:val="clear" w:color="ffffff" w:fill="ffffff"/>
              <w:rPr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1 700,0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2 200,0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3 900,0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vMerge w:val="continue"/>
            <w:textDirection w:val="lrTb"/>
            <w:noWrap w:val="false"/>
          </w:tcPr>
          <w:p>
            <w:pPr>
              <w:pStyle w:val="86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9" w:type="dxa"/>
            <w:vAlign w:val="bottom"/>
            <w:textDirection w:val="lrTb"/>
            <w:noWrap w:val="false"/>
          </w:tcPr>
          <w:p>
            <w:pPr>
              <w:pStyle w:val="862"/>
              <w:ind w:left="113"/>
              <w:spacing w:after="0" w:afterAutospacing="0"/>
              <w:shd w:val="clear" w:color="ffffff" w:fill="ffffff"/>
              <w:rPr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Объем налоговых расходов Белоярского района (справочно)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  <w:t xml:space="preserve">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9" w:type="dxa"/>
            <w:vAlign w:val="bottom"/>
            <w:textDirection w:val="lrTb"/>
            <w:noWrap w:val="false"/>
          </w:tcPr>
          <w:p>
            <w:pPr>
              <w:pStyle w:val="862"/>
              <w:ind w:left="113"/>
              <w:spacing w:after="0" w:afterAutospacing="0"/>
              <w:shd w:val="clear" w:color="ffffff" w:fill="ffffff"/>
              <w:rPr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Комплекс процессных мероприятий  "Осуществление органами местного самоуправления отдельных государственных полномочий" (всего),</w:t>
              <w:br/>
              <w:t xml:space="preserve">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1 473,3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7 431,0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7 431,0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7 431,0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7 431,0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7 431,0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38 628,3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86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9" w:type="dxa"/>
            <w:vAlign w:val="bottom"/>
            <w:textDirection w:val="lrTb"/>
            <w:noWrap w:val="false"/>
          </w:tcPr>
          <w:p>
            <w:pPr>
              <w:pStyle w:val="862"/>
              <w:ind w:left="113"/>
              <w:spacing w:after="0" w:afterAutospacing="0"/>
              <w:shd w:val="clear" w:color="ffffff" w:fill="ffffff"/>
              <w:rPr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1 473,3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7 431,0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7 431,0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7 431,0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7 431,0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7 431,0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38 628,3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9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9" w:type="dxa"/>
            <w:vAlign w:val="bottom"/>
            <w:textDirection w:val="lrTb"/>
            <w:noWrap w:val="false"/>
          </w:tcPr>
          <w:p>
            <w:pPr>
              <w:pStyle w:val="862"/>
              <w:ind w:left="113"/>
              <w:spacing w:after="0" w:afterAutospacing="0"/>
              <w:shd w:val="clear" w:color="ffffff" w:fill="ffffff"/>
              <w:rPr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результат "Оказана государственная поддержка  юридических и физических лиц из числа коренных малочисленных народов, ведущих традиционный образ жизни и осуществляющих традиционную хозяйственную деятельность "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1 473,3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7 431,0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7 431,0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7 431,0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7 431,0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7 431,0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38 628,3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86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9" w:type="dxa"/>
            <w:vAlign w:val="bottom"/>
            <w:textDirection w:val="lrTb"/>
            <w:noWrap w:val="false"/>
          </w:tcPr>
          <w:p>
            <w:pPr>
              <w:pStyle w:val="862"/>
              <w:ind w:left="113"/>
              <w:spacing w:after="0" w:afterAutospacing="0"/>
              <w:shd w:val="clear" w:color="ffffff" w:fill="ffffff"/>
              <w:rPr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1 473,3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7 431,0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7 431,0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7 431,0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7 431,0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7 431,0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38 628,3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3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9" w:type="dxa"/>
            <w:vAlign w:val="bottom"/>
            <w:textDirection w:val="lrTb"/>
            <w:noWrap w:val="false"/>
          </w:tcPr>
          <w:p>
            <w:pPr>
              <w:pStyle w:val="862"/>
              <w:ind w:left="113"/>
              <w:spacing w:after="0" w:afterAutospacing="0"/>
              <w:shd w:val="clear" w:color="ffffff" w:fill="ffffff"/>
              <w:rPr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Комплекс процессных мероприятий «Содействие в проведении мероприятий, направленных на сохранение культурного наследия коренных малочисленных народов»</w:t>
              <w:br/>
              <w:t xml:space="preserve">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86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9" w:type="dxa"/>
            <w:vAlign w:val="bottom"/>
            <w:textDirection w:val="lrTb"/>
            <w:noWrap w:val="false"/>
          </w:tcPr>
          <w:p>
            <w:pPr>
              <w:pStyle w:val="862"/>
              <w:ind w:left="113"/>
              <w:spacing w:after="0" w:afterAutospacing="0"/>
              <w:shd w:val="clear" w:color="ffffff" w:fill="ffffff"/>
              <w:rPr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8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9" w:type="dxa"/>
            <w:vAlign w:val="bottom"/>
            <w:textDirection w:val="lrTb"/>
            <w:noWrap w:val="false"/>
          </w:tcPr>
          <w:p>
            <w:pPr>
              <w:pStyle w:val="862"/>
              <w:ind w:left="113"/>
              <w:spacing w:after="0" w:afterAutospacing="0"/>
              <w:shd w:val="clear" w:color="ffffff" w:fill="ffffff"/>
              <w:rPr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результат "Проведены национальные праздники «День оленевода», «День рыбака» &lt;*&gt;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86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9" w:type="dxa"/>
            <w:vAlign w:val="bottom"/>
            <w:textDirection w:val="lrTb"/>
            <w:noWrap w:val="false"/>
          </w:tcPr>
          <w:p>
            <w:pPr>
              <w:pStyle w:val="862"/>
              <w:ind w:left="113"/>
              <w:spacing w:after="0" w:afterAutospacing="0"/>
              <w:shd w:val="clear" w:color="ffffff" w:fill="ffffff"/>
              <w:rPr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7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9" w:type="dxa"/>
            <w:vAlign w:val="bottom"/>
            <w:textDirection w:val="lrTb"/>
            <w:noWrap w:val="false"/>
          </w:tcPr>
          <w:p>
            <w:pPr>
              <w:pStyle w:val="862"/>
              <w:ind w:left="113"/>
              <w:spacing w:after="0" w:afterAutospacing="0"/>
              <w:shd w:val="clear" w:color="ffffff" w:fill="ffffff"/>
              <w:rPr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Комплекс процессных мероприяти</w:t>
            </w:r>
            <w:r>
              <w:rPr>
                <w:color w:val="000000"/>
                <w:sz w:val="20"/>
                <w:szCs w:val="20"/>
              </w:rPr>
              <w:t xml:space="preserve">й «Содействие в обеспечение жителей Белоярского района, проживающих в местах традиционного проживания и традиционной хозяйственной деятельности коренных малочисленных народов Севера, продовольственными и непродовольственными товарами»</w:t>
              <w:br/>
              <w:t xml:space="preserve">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1 700,0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2 200,0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3 900,0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86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9" w:type="dxa"/>
            <w:vAlign w:val="bottom"/>
            <w:textDirection w:val="lrTb"/>
            <w:noWrap w:val="false"/>
          </w:tcPr>
          <w:p>
            <w:pPr>
              <w:pStyle w:val="862"/>
              <w:ind w:left="113"/>
              <w:spacing w:after="0" w:afterAutospacing="0"/>
              <w:shd w:val="clear" w:color="ffffff" w:fill="ffffff"/>
              <w:rPr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1 700,0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2 200,0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3 900,0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0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9" w:type="dxa"/>
            <w:vAlign w:val="bottom"/>
            <w:textDirection w:val="lrTb"/>
            <w:noWrap w:val="false"/>
          </w:tcPr>
          <w:p>
            <w:pPr>
              <w:pStyle w:val="862"/>
              <w:ind w:left="113"/>
              <w:spacing w:after="0" w:afterAutospacing="0"/>
              <w:shd w:val="clear" w:color="ffffff" w:fill="ffffff"/>
              <w:rPr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результат "Предоставлены субсидии в целях возмещения затрат в связи с оказанием услуг торговли для обеспечения труднодоступных и отдаленных поселений Белоярского района д.Нумто, д.Юильск продовольственными и непродовольственными товарами"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86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9" w:type="dxa"/>
            <w:vAlign w:val="bottom"/>
            <w:textDirection w:val="lrTb"/>
            <w:noWrap w:val="false"/>
          </w:tcPr>
          <w:p>
            <w:pPr>
              <w:pStyle w:val="862"/>
              <w:ind w:left="113"/>
              <w:spacing w:after="0" w:afterAutospacing="0"/>
              <w:shd w:val="clear" w:color="ffffff" w:fill="ffffff"/>
              <w:rPr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19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9" w:type="dxa"/>
            <w:vAlign w:val="bottom"/>
            <w:textDirection w:val="lrTb"/>
            <w:noWrap w:val="false"/>
          </w:tcPr>
          <w:p>
            <w:pPr>
              <w:pStyle w:val="862"/>
              <w:ind w:left="113"/>
              <w:spacing w:after="0" w:afterAutospacing="0"/>
              <w:shd w:val="clear" w:color="ffffff" w:fill="ffffff"/>
              <w:rPr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результат "Предоставлены субсидии в целях возмещения затрат в связи с оказанием услуг торговли для обеспечения труднодоступных и отдаленных поселений Белоярского района д.Пашторы, с.Тугияны продовольственными и непродовольственными товарами;"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86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9" w:type="dxa"/>
            <w:vAlign w:val="bottom"/>
            <w:textDirection w:val="lrTb"/>
            <w:noWrap w:val="false"/>
          </w:tcPr>
          <w:p>
            <w:pPr>
              <w:pStyle w:val="862"/>
              <w:ind w:left="113"/>
              <w:spacing w:after="0" w:afterAutospacing="0"/>
              <w:shd w:val="clear" w:color="ffffff" w:fill="ffffff"/>
              <w:rPr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6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9" w:type="dxa"/>
            <w:vAlign w:val="bottom"/>
            <w:textDirection w:val="lrTb"/>
            <w:noWrap w:val="false"/>
          </w:tcPr>
          <w:p>
            <w:pPr>
              <w:pStyle w:val="862"/>
              <w:ind w:left="113"/>
              <w:spacing w:after="0" w:afterAutospacing="0"/>
              <w:shd w:val="clear" w:color="ffffff" w:fill="ffffff"/>
              <w:rPr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результат "Содействие возведению зданий для организации торговли в местах традиционного проживания и традиционной хозяйственной деятельности коренных малочисленных народов Севера"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1 400,0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86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9" w:type="dxa"/>
            <w:vAlign w:val="bottom"/>
            <w:textDirection w:val="lrTb"/>
            <w:noWrap w:val="false"/>
          </w:tcPr>
          <w:p>
            <w:pPr>
              <w:pStyle w:val="862"/>
              <w:ind w:left="113"/>
              <w:spacing w:after="0" w:afterAutospacing="0"/>
              <w:shd w:val="clear" w:color="ffffff" w:fill="ffffff"/>
              <w:rPr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spacing w:after="0" w:afterAutospacing="0"/>
              <w:shd w:val="clear" w:color="ffffff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1 400,0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highlight w:val="none"/>
          <w:lang w:eastAsia="ru-RU"/>
        </w:rPr>
      </w:r>
      <w:r>
        <w:rPr>
          <w:rFonts w:eastAsia="Times New Roman"/>
          <w:sz w:val="20"/>
          <w:szCs w:val="20"/>
          <w:highlight w:val="none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62"/>
        <w:rPr>
          <w:rFonts w:eastAsia="Times New Roman"/>
          <w:sz w:val="20"/>
          <w:szCs w:val="20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&lt;*&gt;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 xml:space="preserve">фи</w:t>
      </w:r>
      <w:r>
        <w:rPr>
          <w:rFonts w:eastAsia="Times New Roman"/>
          <w:sz w:val="20"/>
          <w:szCs w:val="20"/>
          <w:lang w:eastAsia="ru-RU"/>
        </w:rPr>
        <w:t xml:space="preserve">нансирование мероприятия предусмотрено в муниципальной программе Белоярского района «Развитие культуры»</w:t>
      </w:r>
      <w:r>
        <w:rPr>
          <w:rFonts w:eastAsia="Times New Roman"/>
          <w:sz w:val="20"/>
          <w:szCs w:val="20"/>
          <w:highlight w:val="none"/>
          <w:lang w:eastAsia="ru-RU"/>
        </w:rPr>
      </w:r>
      <w:r>
        <w:rPr>
          <w:rFonts w:eastAsia="Times New Roman"/>
          <w:sz w:val="20"/>
          <w:szCs w:val="20"/>
          <w:highlight w:val="none"/>
          <w:lang w:eastAsia="ru-RU"/>
        </w:rPr>
      </w:r>
    </w:p>
    <w:p>
      <w:pPr>
        <w:pStyle w:val="862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___________________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sectPr>
      <w:footnotePr/>
      <w:endnotePr/>
      <w:type w:val="nextPage"/>
      <w:pgSz w:w="16838" w:h="11906" w:orient="landscape"/>
      <w:pgMar w:top="1135" w:right="720" w:bottom="720" w:left="720" w:header="708" w:footer="7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right"/>
    </w:pPr>
    <w:r/>
    <w:r/>
  </w:p>
  <w:p>
    <w:pPr>
      <w:pStyle w:val="88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</w:pPr>
    <w:r/>
    <w:r/>
  </w:p>
  <w:p>
    <w:pPr>
      <w:pStyle w:val="88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63">
    <w:name w:val="Заголовок 1"/>
    <w:basedOn w:val="862"/>
    <w:next w:val="862"/>
    <w:link w:val="869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 w:cs="Times New Roman"/>
      <w:color w:val="365f91"/>
      <w:sz w:val="32"/>
      <w:szCs w:val="32"/>
    </w:rPr>
  </w:style>
  <w:style w:type="paragraph" w:styleId="864">
    <w:name w:val="Заголовок 2"/>
    <w:basedOn w:val="862"/>
    <w:next w:val="862"/>
    <w:link w:val="870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</w:rPr>
  </w:style>
  <w:style w:type="paragraph" w:styleId="865">
    <w:name w:val="Заголовок 3"/>
    <w:basedOn w:val="862"/>
    <w:next w:val="862"/>
    <w:link w:val="871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character" w:styleId="866">
    <w:name w:val="Основной шрифт абзаца"/>
    <w:next w:val="866"/>
    <w:link w:val="862"/>
    <w:uiPriority w:val="1"/>
    <w:unhideWhenUsed/>
  </w:style>
  <w:style w:type="table" w:styleId="867">
    <w:name w:val="Обычная таблица"/>
    <w:next w:val="867"/>
    <w:link w:val="862"/>
    <w:uiPriority w:val="99"/>
    <w:unhideWhenUsed/>
    <w:tblPr/>
  </w:style>
  <w:style w:type="numbering" w:styleId="868">
    <w:name w:val="Нет списка"/>
    <w:next w:val="868"/>
    <w:link w:val="862"/>
    <w:uiPriority w:val="99"/>
    <w:semiHidden/>
    <w:unhideWhenUsed/>
  </w:style>
  <w:style w:type="character" w:styleId="869">
    <w:name w:val="Заголовок 1 Знак"/>
    <w:next w:val="869"/>
    <w:link w:val="863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870">
    <w:name w:val="Заголовок 2 Знак"/>
    <w:next w:val="870"/>
    <w:link w:val="864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871">
    <w:name w:val="Заголовок 3 Знак"/>
    <w:next w:val="871"/>
    <w:link w:val="865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872">
    <w:name w:val="Знак примечания"/>
    <w:next w:val="872"/>
    <w:link w:val="862"/>
    <w:uiPriority w:val="99"/>
    <w:unhideWhenUsed/>
    <w:rPr>
      <w:sz w:val="16"/>
      <w:szCs w:val="16"/>
    </w:rPr>
  </w:style>
  <w:style w:type="character" w:styleId="873">
    <w:name w:val="Гиперссылка"/>
    <w:next w:val="873"/>
    <w:link w:val="862"/>
    <w:uiPriority w:val="99"/>
    <w:unhideWhenUsed/>
    <w:rPr>
      <w:color w:val="0000ff"/>
      <w:u w:val="single"/>
    </w:rPr>
  </w:style>
  <w:style w:type="paragraph" w:styleId="874">
    <w:name w:val="Текст выноски"/>
    <w:basedOn w:val="862"/>
    <w:next w:val="874"/>
    <w:link w:val="875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5">
    <w:name w:val="Текст выноски Знак"/>
    <w:next w:val="875"/>
    <w:link w:val="874"/>
    <w:uiPriority w:val="99"/>
    <w:semiHidden/>
    <w:rPr>
      <w:rFonts w:ascii="Tahoma" w:hAnsi="Tahoma" w:cs="Tahoma"/>
      <w:sz w:val="16"/>
      <w:szCs w:val="16"/>
    </w:rPr>
  </w:style>
  <w:style w:type="paragraph" w:styleId="876">
    <w:name w:val="Основной текст с отступом 3"/>
    <w:basedOn w:val="862"/>
    <w:next w:val="876"/>
    <w:link w:val="877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877">
    <w:name w:val="Основной текст с отступом 3 Знак"/>
    <w:next w:val="877"/>
    <w:link w:val="876"/>
    <w:rPr>
      <w:rFonts w:eastAsia="Times New Roman"/>
      <w:sz w:val="24"/>
    </w:rPr>
  </w:style>
  <w:style w:type="paragraph" w:styleId="878">
    <w:name w:val="Текст примечания"/>
    <w:basedOn w:val="862"/>
    <w:next w:val="878"/>
    <w:link w:val="879"/>
    <w:uiPriority w:val="99"/>
    <w:unhideWhenUsed/>
    <w:pPr>
      <w:spacing w:line="240" w:lineRule="auto"/>
    </w:pPr>
    <w:rPr>
      <w:sz w:val="20"/>
      <w:szCs w:val="20"/>
    </w:rPr>
  </w:style>
  <w:style w:type="character" w:styleId="879">
    <w:name w:val="Текст примечания Знак"/>
    <w:next w:val="879"/>
    <w:link w:val="878"/>
    <w:uiPriority w:val="99"/>
    <w:semiHidden/>
    <w:rPr>
      <w:sz w:val="20"/>
      <w:szCs w:val="20"/>
    </w:rPr>
  </w:style>
  <w:style w:type="paragraph" w:styleId="880">
    <w:name w:val="Тема примечания"/>
    <w:basedOn w:val="878"/>
    <w:next w:val="878"/>
    <w:link w:val="881"/>
    <w:uiPriority w:val="99"/>
    <w:unhideWhenUsed/>
    <w:rPr>
      <w:b/>
      <w:bCs/>
    </w:rPr>
  </w:style>
  <w:style w:type="character" w:styleId="881">
    <w:name w:val="Тема примечания Знак"/>
    <w:next w:val="881"/>
    <w:link w:val="880"/>
    <w:uiPriority w:val="99"/>
    <w:semiHidden/>
    <w:rPr>
      <w:b/>
      <w:bCs/>
      <w:sz w:val="20"/>
      <w:szCs w:val="20"/>
    </w:rPr>
  </w:style>
  <w:style w:type="paragraph" w:styleId="882">
    <w:name w:val="Верхний колонтитул"/>
    <w:basedOn w:val="862"/>
    <w:next w:val="882"/>
    <w:link w:val="88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3">
    <w:name w:val="Верхний колонтитул Знак"/>
    <w:next w:val="883"/>
    <w:link w:val="882"/>
    <w:uiPriority w:val="99"/>
    <w:rPr>
      <w:sz w:val="22"/>
      <w:szCs w:val="22"/>
      <w:lang w:eastAsia="en-US"/>
    </w:rPr>
  </w:style>
  <w:style w:type="paragraph" w:styleId="884">
    <w:name w:val="Нижний колонтитул"/>
    <w:basedOn w:val="862"/>
    <w:next w:val="884"/>
    <w:link w:val="8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5">
    <w:name w:val="Нижний колонтитул Знак"/>
    <w:next w:val="885"/>
    <w:link w:val="884"/>
    <w:uiPriority w:val="99"/>
    <w:rPr>
      <w:sz w:val="22"/>
      <w:szCs w:val="22"/>
      <w:lang w:eastAsia="en-US"/>
    </w:rPr>
  </w:style>
  <w:style w:type="paragraph" w:styleId="886">
    <w:name w:val="Обычный (веб)"/>
    <w:basedOn w:val="862"/>
    <w:next w:val="886"/>
    <w:link w:val="862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table" w:styleId="887">
    <w:name w:val="Сетка таблицы"/>
    <w:basedOn w:val="867"/>
    <w:next w:val="887"/>
    <w:link w:val="862"/>
    <w:uiPriority w:val="59"/>
    <w:pPr>
      <w:jc w:val="both"/>
      <w:widowControl w:val="off"/>
    </w:pPr>
    <w:tblPr/>
  </w:style>
  <w:style w:type="paragraph" w:styleId="888">
    <w:name w:val="Абзац списка"/>
    <w:basedOn w:val="862"/>
    <w:next w:val="888"/>
    <w:link w:val="862"/>
    <w:uiPriority w:val="34"/>
    <w:qFormat/>
    <w:pPr>
      <w:contextualSpacing/>
      <w:ind w:left="720"/>
    </w:pPr>
  </w:style>
  <w:style w:type="paragraph" w:styleId="889">
    <w:name w:val="Без интервала"/>
    <w:next w:val="889"/>
    <w:link w:val="862"/>
    <w:uiPriority w:val="1"/>
    <w:qFormat/>
    <w:rPr>
      <w:sz w:val="22"/>
      <w:szCs w:val="22"/>
      <w:lang w:val="ru-RU" w:eastAsia="en-US" w:bidi="ar-SA"/>
    </w:rPr>
  </w:style>
  <w:style w:type="paragraph" w:styleId="890">
    <w:name w:val="ConsPlusNormal"/>
    <w:next w:val="890"/>
    <w:link w:val="862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91">
    <w:name w:val="ConsPlusTitle"/>
    <w:next w:val="891"/>
    <w:link w:val="862"/>
    <w:pPr>
      <w:widowControl w:val="off"/>
    </w:pPr>
    <w:rPr>
      <w:rFonts w:ascii="Arial" w:hAnsi="Arial" w:eastAsia="Times New Roman" w:cs="Arial"/>
      <w:b/>
      <w:lang w:val="ru-RU" w:eastAsia="ru-RU" w:bidi="ar-SA"/>
    </w:rPr>
  </w:style>
  <w:style w:type="paragraph" w:styleId="892">
    <w:name w:val="Рецензия"/>
    <w:next w:val="892"/>
    <w:link w:val="862"/>
    <w:uiPriority w:val="99"/>
    <w:semiHidden/>
    <w:rPr>
      <w:sz w:val="22"/>
      <w:szCs w:val="22"/>
      <w:lang w:val="ru-RU" w:eastAsia="en-US" w:bidi="ar-SA"/>
    </w:rPr>
  </w:style>
  <w:style w:type="character" w:styleId="893">
    <w:name w:val="font41"/>
    <w:next w:val="893"/>
    <w:link w:val="862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94">
    <w:name w:val="font01"/>
    <w:next w:val="894"/>
    <w:link w:val="862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95">
    <w:name w:val="font21"/>
    <w:next w:val="895"/>
    <w:link w:val="862"/>
    <w:rPr>
      <w:rFonts w:ascii="Times New Roman" w:hAnsi="Times New Roman" w:cs="Times New Roman"/>
      <w:b/>
      <w:bCs/>
      <w:i w:val="0"/>
      <w:iCs w:val="0"/>
      <w:color w:val="000000"/>
      <w:u w:val="none"/>
    </w:rPr>
  </w:style>
  <w:style w:type="character" w:styleId="896">
    <w:name w:val="font31"/>
    <w:next w:val="896"/>
    <w:link w:val="862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97" w:default="1">
    <w:name w:val="Default Paragraph Font"/>
    <w:uiPriority w:val="1"/>
    <w:semiHidden/>
    <w:unhideWhenUsed/>
  </w:style>
  <w:style w:type="numbering" w:styleId="898" w:default="1">
    <w:name w:val="No List"/>
    <w:uiPriority w:val="99"/>
    <w:semiHidden/>
    <w:unhideWhenUsed/>
  </w:style>
  <w:style w:type="table" w:styleId="89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BordunAO</cp:lastModifiedBy>
  <cp:revision>6</cp:revision>
  <dcterms:created xsi:type="dcterms:W3CDTF">2024-12-05T04:54:00Z</dcterms:created>
  <dcterms:modified xsi:type="dcterms:W3CDTF">2026-01-27T10:47:36Z</dcterms:modified>
  <cp:version>1048576</cp:version>
</cp:coreProperties>
</file>