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марта 2020 г. 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243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утверждении лесохозяйственного регламента лесничества «Городские леса городского поселения Белоярский»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VoytehovichAR@admbel.ru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 июня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743"/>
                <w:tab w:val="clear" w:pos="1080"/>
              </w:tabs>
              <w:ind w:left="34" w:firstLine="14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743"/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-108"/>
                <w:tab w:val="left" w:pos="743"/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743"/>
                <w:tab w:val="clear" w:pos="1080"/>
              </w:tabs>
              <w:ind w:left="34" w:leftChars="0" w:firstLine="142" w:firstLineChars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782" w:type="dxa"/>
            <w:shd w:val="clear" w:color="auto" w:fill="auto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743"/>
                <w:tab w:val="clear" w:pos="1080"/>
              </w:tabs>
              <w:ind w:left="34" w:firstLine="142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  <w:rsid w:val="166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466</Words>
  <Characters>2658</Characters>
  <Lines>22</Lines>
  <Paragraphs>6</Paragraphs>
  <TotalTime>0</TotalTime>
  <ScaleCrop>false</ScaleCrop>
  <LinksUpToDate>false</LinksUpToDate>
  <CharactersWithSpaces>3118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2016-10-31T08:49:00Z</cp:lastPrinted>
  <dcterms:modified xsi:type="dcterms:W3CDTF">2023-05-16T05:12:07Z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92D04F1400234190B6D7F9BF40F14D53</vt:lpwstr>
  </property>
</Properties>
</file>