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695325" cy="885825"/>
            <wp:effectExtent l="0" t="0" r="9525" b="9525"/>
            <wp:docPr id="17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pStyle w:val="2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</w:rPr>
      </w:pPr>
    </w:p>
    <w:p>
      <w:pPr>
        <w:tabs>
          <w:tab w:val="left" w:pos="1134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color w:val="000000"/>
          <w:sz w:val="24"/>
        </w:rPr>
        <w:t>т 25 декабря 2015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                     № 14- р</w:t>
      </w:r>
    </w:p>
    <w:p>
      <w:pPr>
        <w:tabs>
          <w:tab w:val="left" w:pos="1134"/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>
      <w:pPr>
        <w:tabs>
          <w:tab w:val="left" w:pos="1134"/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>
      <w:pPr>
        <w:tabs>
          <w:tab w:val="left" w:pos="1134"/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методики оценки результативности и эффективности </w:t>
      </w:r>
    </w:p>
    <w:p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выполнения муниципальных заданий на оказание муниципальных услуг (выполнение работ)</w:t>
      </w:r>
    </w:p>
    <w:p>
      <w:pPr>
        <w:pStyle w:val="11"/>
        <w:ind w:firstLine="709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(в ред. распор. Комитета по финансам и налоговой политике администрации Белоярского района от 28.07.2023 № 44-р)</w:t>
      </w:r>
    </w:p>
    <w:p>
      <w:pPr>
        <w:pStyle w:val="11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fldChar w:fldCharType="begin"/>
      </w:r>
      <w:r>
        <w:instrText xml:space="preserve"> HYPERLINK "consultantplus://offline/ref=19406286C227F1AA30A3D5774E421314EEE0D15CFD82D4FB507B40981ACB76E0856AA00E1068E6BAB15DBCe3l8J"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пунктом 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3.1 </w:t>
      </w:r>
      <w:r>
        <w:rPr>
          <w:rFonts w:ascii="Times New Roman" w:hAnsi="Times New Roman" w:cs="Times New Roman"/>
          <w:bCs/>
          <w:sz w:val="24"/>
          <w:szCs w:val="24"/>
        </w:rPr>
        <w:t>Порядка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формирования муниципального задания на оказание муниципальных услуг (выполнение работ) муниципальными учреждениями Белоярского района, поселений в границах Белоярского района и финансового обеспечения выполнения муниципального задания</w:t>
      </w:r>
      <w:r>
        <w:rPr>
          <w:rFonts w:ascii="Times New Roman" w:hAnsi="Times New Roman" w:cs="Times New Roman"/>
          <w:bCs/>
          <w:sz w:val="24"/>
          <w:szCs w:val="24"/>
        </w:rPr>
        <w:t>, утвержденного постановлением администрации Белоярского района от 25 декабря 2015 года № 1575 «О Порядке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формирования муниципального задания на оказание муниципальных услуг (выполнение работ) муниципальными учреждениями Белоярского района, поселений в границах Белоярского района и финансового обеспечения выполнения муниципального задания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</w:t>
      </w:r>
      <w:r>
        <w:fldChar w:fldCharType="begin"/>
      </w:r>
      <w:r>
        <w:instrText xml:space="preserve"> HYPERLINK \l "Par33"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Методику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оценки результативности и эффективности выполнения муниципальных заданий на оказание муниципальных услуг (выполнение работ) (далее – Методика), согласно приложению.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Бюджетному отделу Комитета по финансам и налоговой политике администрации Белоярского района довести Методику до органов местного самоуправления поселений, входящих в состав Белоярского района.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3. Рекомендовать </w:t>
      </w:r>
      <w:r>
        <w:rPr>
          <w:rFonts w:ascii="Times New Roman" w:hAnsi="Times New Roman" w:cs="Times New Roman"/>
          <w:sz w:val="24"/>
          <w:szCs w:val="24"/>
        </w:rPr>
        <w:t xml:space="preserve">главным распорядителями средств бюджета Белоярского района, главным распорядителям средств бюджета поселения в границах Белоярского района, в ведении которых находятся казенные учреждения 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органам администрации Белоярского района, администрациям поселений в границах Белоярского района, осуществляющим функции и полномочия учредителя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бюджетных и автономных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учреждени</w:t>
      </w:r>
      <w:r>
        <w:rPr>
          <w:rFonts w:ascii="Times New Roman" w:hAnsi="Times New Roman" w:cs="Times New Roman"/>
          <w:bCs/>
          <w:sz w:val="24"/>
          <w:szCs w:val="24"/>
        </w:rPr>
        <w:t>й, созданных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на базе имущества, находящегося в муниципальной собственности Белоярского района, поселения в границах Белоярского района использовать данную </w:t>
      </w:r>
      <w:r>
        <w:fldChar w:fldCharType="begin"/>
      </w:r>
      <w:r>
        <w:instrText xml:space="preserve"> HYPERLINK \l "Par33"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Методику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>начиная с отчета о выполнении муниципального задания за 2015 год.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Распоряжение подлежит размещению на официальной сайте администрации Белоярского района.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5. Контроль за выполнением распоряжения возложить заместителя председателя Комитета по финансам  и налоговой политике администрации Белоярского района по бюджету.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Заместитель главы Белоярского района, </w:t>
      </w:r>
    </w:p>
    <w:p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Комитета по финансам </w:t>
      </w:r>
    </w:p>
    <w:p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налоговой политике </w:t>
      </w:r>
    </w:p>
    <w:p>
      <w:pPr>
        <w:tabs>
          <w:tab w:val="left" w:pos="2268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  <w:sectPr>
          <w:headerReference r:id="rId5" w:type="default"/>
          <w:pgSz w:w="11906" w:h="16838"/>
          <w:pgMar w:top="1701" w:right="851" w:bottom="1134" w:left="1701" w:header="720" w:footer="720" w:gutter="0"/>
          <w:cols w:space="720" w:num="1"/>
          <w:titlePg/>
          <w:docGrid w:linePitch="299" w:charSpace="0"/>
        </w:sectPr>
      </w:pPr>
      <w:r>
        <w:rPr>
          <w:rFonts w:ascii="Times New Roman" w:hAnsi="Times New Roman" w:cs="Times New Roman"/>
          <w:sz w:val="24"/>
        </w:rPr>
        <w:t>администрации Белоярского района                                                                             И.Ю.Гисс</w:t>
      </w:r>
    </w:p>
    <w:p>
      <w:pPr>
        <w:pStyle w:val="1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Комитета по финансам </w:t>
      </w:r>
    </w:p>
    <w:p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налоговой политике</w:t>
      </w:r>
    </w:p>
    <w:p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 декабря 2015 года № 14 - р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33"/>
      <w:bookmarkEnd w:id="0"/>
      <w:r>
        <w:rPr>
          <w:rFonts w:ascii="Times New Roman" w:hAnsi="Times New Roman" w:cs="Times New Roman"/>
          <w:b/>
          <w:sz w:val="24"/>
          <w:szCs w:val="24"/>
        </w:rPr>
        <w:t>Методика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оценки результативности и эффективности выполнения муниципальных заданий на оказание муниципальных услуг (выполнение работ)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Общее положение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Методика оценки результативности и эффективности выполнения муниципальных заданий на оказание муниципальных услуг (выполнение работ) (далее - Методика) применяется в рамках оценки выполнения муниципальных заданий на оказание муниципальных услуг (выполнение работ) оказываемых муниципальными казенными, бюджетными и автономными учреждениями Белоярского района, поселений в границах Белоярского района (далее – района (поселения)).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Оценка результативности и эффективности выполнения муниципальных заданий на оказание муниципальных услуг (выполнение работ) осуществляется соответствующими главными распорядителями средств бюджета Белоярского района, главными распорядителями средств бюджета поселения в границах Белоярского района,  в ведении которых находятся казенные учреждения (</w:t>
      </w:r>
      <w:r>
        <w:rPr>
          <w:rFonts w:ascii="Times New Roman" w:hAnsi="Times New Roman" w:eastAsia="Times New Roman" w:cs="Times New Roman"/>
          <w:sz w:val="24"/>
          <w:szCs w:val="24"/>
        </w:rPr>
        <w:t>далее – главные распорядители бюджетных средств)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органами администрации Белоярского района, администрациями поселений в границах Белоярского района, осуществляющими функции и полномочия учредителя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бюджетных и автономных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учреждени</w:t>
      </w:r>
      <w:r>
        <w:rPr>
          <w:rFonts w:ascii="Times New Roman" w:hAnsi="Times New Roman" w:cs="Times New Roman"/>
          <w:bCs/>
          <w:sz w:val="24"/>
          <w:szCs w:val="24"/>
        </w:rPr>
        <w:t>й, созданных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на базе имущества находящегося в муниципальной собственности Белоярского района, поселения в границах Белоярского района (далее – учредитель)</w:t>
      </w:r>
      <w:r>
        <w:rPr>
          <w:rFonts w:ascii="Times New Roman" w:hAnsi="Times New Roman" w:cs="Times New Roman"/>
          <w:sz w:val="24"/>
          <w:szCs w:val="24"/>
        </w:rPr>
        <w:t xml:space="preserve">  по каждому учреждению Белоярского района.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Сведения о результатах оценки результативности и эффективности выполнения муниципальных заданий на оказание муниципальных услуг (выполнение работ) используются с целью: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выявления причин (факторов) возникновения отклонения показателей объема и качества фактически предоставляемых муниципальных услуг (выполнение работ) от требований муниципального задания; 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выработки предложений, направленных на повышение качества предоставляемых муниципальных услуг (выполнение работ);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применения санкций в отношении подведомственных учреждений и их руководителей, нарушающих количественные и качественные показатели, установленные в муниципальном задании;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учета результатов оценки при финансировании, исполнении и формировании муниципальных заданий на оказание  муниципальных услуг (выполнение работ) на последующие периоды.</w:t>
      </w:r>
    </w:p>
    <w:p>
      <w:pPr>
        <w:pStyle w:val="11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eastAsia="Times New Roman" w:cs="Times New Roman"/>
          <w:sz w:val="24"/>
          <w:szCs w:val="24"/>
        </w:rPr>
        <w:t>Главные распорядители бюджетных средств, учредители предоставляют в Комитет по финансам и налоговой политике администрации Белоярского района (далее – Комитет по финансам):</w:t>
      </w:r>
    </w:p>
    <w:p>
      <w:pPr>
        <w:pStyle w:val="11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отчет о выполнении муниципальных заданий и оценку результативности и эффективности выполнения муниципальных заданий </w:t>
      </w:r>
      <w:r>
        <w:rPr>
          <w:rFonts w:ascii="Times New Roman" w:hAnsi="Times New Roman" w:cs="Times New Roman"/>
          <w:sz w:val="24"/>
          <w:szCs w:val="24"/>
        </w:rPr>
        <w:t>по состоянию на 1 сентября текущего финансового года</w:t>
      </w:r>
      <w:r>
        <w:rPr>
          <w:rFonts w:ascii="Times New Roman" w:hAnsi="Times New Roman" w:eastAsia="Times New Roman" w:cs="Times New Roman"/>
          <w:sz w:val="24"/>
          <w:szCs w:val="24"/>
        </w:rPr>
        <w:t>, в течение  5 дней месяца следующего за отчетным;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годовой отчет о выполнении муниципальных заданий и оценку результативности и эффективности выполнения муниципальных заданий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не позднее 15 января года следующего за отчетным.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По запросу Комитета по финансам главные распорядители бюджетных средств, учредители предоставляют расшифровку результатов оценки результативности и эффективности выполнения муниципальных  заданий на оказание муниципальных услуг (выполнение работ) в форме пояснительной записки, содержащей расчеты результатов оценки по каждому учреждению района (поселения) в разрезе этапов оценки и формирование планов мероприятий по решению выявленных причин отклонения показателей от установленных в муниципальном задании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Методика оценки результативности и эффективности выполнения муниципальных заданий на оказание муниципальных услуг (выполнение работ) 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Расчет оценки результативности и эффективности выполнения муниципальных заданий на оказание муниципальных услуг (выполнение работ) проводится в три этапа, раздельно по каждому из критериев выполнения муниципальных заданий на оказание муниципальных услуг (выполнение работ):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этап - расчет 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результативность</w:t>
      </w:r>
      <w:r>
        <w:rPr>
          <w:rFonts w:ascii="Times New Roman" w:hAnsi="Times New Roman" w:cs="Times New Roman"/>
          <w:sz w:val="24"/>
          <w:szCs w:val="24"/>
        </w:rPr>
        <w:t xml:space="preserve"> - оценка результативности выполнения муниципального задания на оказание муниципальных услуг (выполнение работ).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 - расчет К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исполнение </w:t>
      </w:r>
      <w:r>
        <w:rPr>
          <w:rFonts w:ascii="Times New Roman" w:hAnsi="Times New Roman" w:cs="Times New Roman"/>
          <w:sz w:val="24"/>
          <w:szCs w:val="24"/>
        </w:rPr>
        <w:t>- оценка выполнения муниципального задания на оказание муниципальных услуг (выполнение работ) по критерию «полнота использования бюджетных средств на выполнение муниципального задания на оказание муниципальных услуг (выполнение работ)».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этап - расчет 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эффективность</w:t>
      </w:r>
      <w:r>
        <w:rPr>
          <w:rFonts w:ascii="Times New Roman" w:hAnsi="Times New Roman" w:cs="Times New Roman"/>
          <w:sz w:val="24"/>
          <w:szCs w:val="24"/>
        </w:rPr>
        <w:t xml:space="preserve"> - итоговой оценки эффективности выполнения муниципального задания на оказание муниципальных услуг (выполнение работ).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Этап 1.</w:t>
      </w:r>
    </w:p>
    <w:p>
      <w:pPr>
        <w:pStyle w:val="11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результативность</w:t>
      </w:r>
      <w:r>
        <w:rPr>
          <w:rFonts w:ascii="Times New Roman" w:hAnsi="Times New Roman" w:cs="Times New Roman"/>
          <w:sz w:val="24"/>
          <w:szCs w:val="24"/>
        </w:rPr>
        <w:t xml:space="preserve"> - оценка выполнения муниципального задания на оказание муниципальных услуг (выполнение работ) по критерию «результативность оказания муниципальных услуг (выполнение работ)» (показатель непосредственного результата)» производится по формуле:</w:t>
      </w:r>
    </w:p>
    <w:p>
      <w:pPr>
        <w:pStyle w:val="11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результативность</w:t>
      </w:r>
      <w:r>
        <w:rPr>
          <w:rFonts w:ascii="Times New Roman" w:hAnsi="Times New Roman" w:cs="Times New Roman"/>
          <w:sz w:val="24"/>
          <w:szCs w:val="24"/>
        </w:rPr>
        <w:t xml:space="preserve"> = (К1  + К2) / 2   (1),</w:t>
      </w:r>
    </w:p>
    <w:p>
      <w:pPr>
        <w:pStyle w:val="11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>
      <w:pPr>
        <w:pStyle w:val="11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К1 - оценка выполнения муниципального задания на оказание муниципальных услуг (выполнение работ) по критерию «объемы оказания муниципальных услуг (выполнения работ)»;</w:t>
      </w:r>
    </w:p>
    <w:p>
      <w:pPr>
        <w:pStyle w:val="11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К2 - оценка выполнения муниципального задания на оказание муниципальных услуг (выполнение работ) по критерию «качество оказания муниципальных услуг (выполнения работ)».</w:t>
      </w:r>
    </w:p>
    <w:p>
      <w:pPr>
        <w:pStyle w:val="11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К1 рассчитывается по формуле: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5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i/>
          <w:lang w:val="en-US"/>
        </w:rPr>
        <w:t>N</w:t>
      </w:r>
    </w:p>
    <w:p>
      <w:pPr>
        <w:pStyle w:val="11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К1 = ∑ К1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  (2),</w:t>
      </w:r>
    </w:p>
    <w:p>
      <w:pPr>
        <w:pStyle w:val="11"/>
        <w:ind w:firstLine="5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i/>
          <w:lang w:val="en-US"/>
        </w:rPr>
        <w:t>i</w:t>
      </w:r>
      <w:r>
        <w:rPr>
          <w:rFonts w:ascii="Times New Roman" w:hAnsi="Times New Roman" w:cs="Times New Roman"/>
          <w:i/>
        </w:rPr>
        <w:t>=1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К1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оценка выполнения муниципального задания на оказание муниципальных</w:t>
      </w:r>
    </w:p>
    <w:p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 (выполнение работ) по каждому из показателей на оказание муниципальных услуг (выполнение работ);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- число показателей, указанных в муниципальном задании на оказание конкретной муниципальной услуги (выполнение работы).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 К1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производится следующим образом: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К1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= К1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ф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/ К1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х 100   (3),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К1</w:t>
      </w:r>
      <w:r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фактическое значение показателя объема оказания муниципальных услуг (выполнения работ);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К1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плановое значение показателя объема оказания муниципальных услуг (выполнения работ).</w:t>
      </w:r>
    </w:p>
    <w:p>
      <w:pPr>
        <w:pStyle w:val="11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К2 рассчитывается по формуле: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5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i/>
          <w:lang w:val="en-US"/>
        </w:rPr>
        <w:t>N</w:t>
      </w:r>
    </w:p>
    <w:p>
      <w:pPr>
        <w:pStyle w:val="11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К2 = ∑ К2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  (4),</w:t>
      </w:r>
    </w:p>
    <w:p>
      <w:pPr>
        <w:pStyle w:val="11"/>
        <w:ind w:firstLine="5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lang w:val="en-US"/>
        </w:rPr>
        <w:t>i</w:t>
      </w:r>
      <w:r>
        <w:rPr>
          <w:rFonts w:ascii="Times New Roman" w:hAnsi="Times New Roman" w:cs="Times New Roman"/>
          <w:i/>
        </w:rPr>
        <w:t>=1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К2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оценка выполнения муниципального задания на оказание муниципальных услуг (выполнение работ) по каждому из показателей качества оказания муниципальных услуг (выполнения работ);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- число показателей, указанных в муниципальном задании на оказание конкретной муниципальной услуги (выполнение работы).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К2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производится следующим образом: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К2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= К2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ф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/ К2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х 100   (5),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К2</w:t>
      </w:r>
      <w:r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фактическое значение показателя, характеризующего качество оказания муниципальных услуг (выполнения работ);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К2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плановое значение показателя, характеризующего качество оказания муниципальных услуг (выполнения работ).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Этап 2.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К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исполнение </w:t>
      </w:r>
      <w:r>
        <w:rPr>
          <w:rFonts w:ascii="Times New Roman" w:hAnsi="Times New Roman" w:cs="Times New Roman"/>
          <w:sz w:val="24"/>
          <w:szCs w:val="24"/>
        </w:rPr>
        <w:t>- оценка выполнения муниципального задания на оказание муниципальных услуг (выполнение работ) по критерию оценки «полнота использования средств бюджета на выполнение муниципального задания» производится в процентах по следующей формуле: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исполнение </w:t>
      </w:r>
      <w:r>
        <w:rPr>
          <w:rFonts w:ascii="Times New Roman" w:hAnsi="Times New Roman" w:cs="Times New Roman"/>
          <w:sz w:val="24"/>
          <w:szCs w:val="24"/>
        </w:rPr>
        <w:t>= 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кас</w:t>
      </w:r>
      <w:r>
        <w:rPr>
          <w:rFonts w:ascii="Times New Roman" w:hAnsi="Times New Roman" w:cs="Times New Roman"/>
          <w:sz w:val="24"/>
          <w:szCs w:val="24"/>
        </w:rPr>
        <w:t xml:space="preserve"> / 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r>
        <w:rPr>
          <w:rFonts w:ascii="Times New Roman" w:hAnsi="Times New Roman" w:cs="Times New Roman"/>
          <w:sz w:val="24"/>
          <w:szCs w:val="24"/>
        </w:rPr>
        <w:t xml:space="preserve"> x 100   (6),</w:t>
      </w:r>
    </w:p>
    <w:p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кас</w:t>
      </w:r>
      <w:r>
        <w:rPr>
          <w:rFonts w:ascii="Times New Roman" w:hAnsi="Times New Roman" w:cs="Times New Roman"/>
          <w:sz w:val="24"/>
          <w:szCs w:val="24"/>
        </w:rPr>
        <w:t xml:space="preserve"> - кассовое исполнение бюджета района на выполнение муниципального задания согласно форме № 0503737 (для автономных и бюджетных учреждений) и № 0503127 (для казенных учреждений);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r>
        <w:rPr>
          <w:rFonts w:ascii="Times New Roman" w:hAnsi="Times New Roman" w:cs="Times New Roman"/>
          <w:sz w:val="24"/>
          <w:szCs w:val="24"/>
        </w:rPr>
        <w:t xml:space="preserve"> - плановый объем бюджетных средств на выполнение муниципального задания.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Этап 3.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  <w:vertAlign w:val="subscript"/>
        </w:rPr>
        <w:t>эффективность</w:t>
      </w:r>
      <w:r>
        <w:rPr>
          <w:rFonts w:ascii="Times New Roman" w:hAnsi="Times New Roman" w:cs="Times New Roman"/>
          <w:sz w:val="24"/>
          <w:szCs w:val="24"/>
        </w:rPr>
        <w:t xml:space="preserve"> - итоговая оценка эффективности выполнения муниципального задания рассчитывается исходя из соотношения оценки  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результативность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«результативность оказания муниципальных услуг (выполнение работ)» и оценки 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исполнение</w:t>
      </w:r>
      <w:r>
        <w:rPr>
          <w:rFonts w:ascii="Times New Roman" w:hAnsi="Times New Roman" w:cs="Times New Roman"/>
          <w:sz w:val="24"/>
          <w:szCs w:val="24"/>
        </w:rPr>
        <w:t xml:space="preserve"> «полнота использования бюджетных средств».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Интерпретация итоговой оценки эффективности выполнения муниципального задания по каждой муниципальной услуге (выполнению работы) осуществляется в соответствии с таблицами 2 и 3: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>
      <w:pPr>
        <w:pStyle w:val="11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Интерпретация итоговой оценки эффективности выполнения муниципального задания за год.</w:t>
      </w:r>
    </w:p>
    <w:p>
      <w:pPr>
        <w:pStyle w:val="11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9356" w:type="dxa"/>
        <w:tblCellSpacing w:w="0" w:type="dxa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3119"/>
        <w:gridCol w:w="2693"/>
        <w:gridCol w:w="3544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217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исполнение </w:t>
            </w:r>
          </w:p>
        </w:tc>
        <w:tc>
          <w:tcPr>
            <w:tcW w:w="3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эффективность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(интерпретация оценки)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311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˃ 100%</w:t>
            </w:r>
          </w:p>
        </w:tc>
        <w:tc>
          <w:tcPr>
            <w:tcW w:w="269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95% ≤ 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 100%</w:t>
            </w:r>
          </w:p>
        </w:tc>
        <w:tc>
          <w:tcPr>
            <w:tcW w:w="354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перевыполнено при эффективном использовании бюджетных средств  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311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97% ≤ 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 100%</w:t>
            </w:r>
          </w:p>
        </w:tc>
        <w:tc>
          <w:tcPr>
            <w:tcW w:w="269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95% ≤ 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 100%</w:t>
            </w:r>
          </w:p>
        </w:tc>
        <w:tc>
          <w:tcPr>
            <w:tcW w:w="354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выполнено в полном объеме при эффективном использовании бюджетных средств  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311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97% ≤ 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 100%</w:t>
            </w:r>
          </w:p>
        </w:tc>
        <w:tc>
          <w:tcPr>
            <w:tcW w:w="269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исполнение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 95%</w:t>
            </w:r>
          </w:p>
        </w:tc>
        <w:tc>
          <w:tcPr>
            <w:tcW w:w="354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 выполнено в полном объеме с экономией бюджетных средств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 97%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95% ≤ 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 100%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не выполнено при полном объеме бюджетных средств  </w:t>
            </w:r>
          </w:p>
        </w:tc>
      </w:tr>
    </w:tbl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>
      <w:pPr>
        <w:pStyle w:val="11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Интерпретация итоговой оценки эффективности выполнения муниципального задания за 9 месяцев.</w:t>
      </w:r>
    </w:p>
    <w:p>
      <w:pPr>
        <w:pStyle w:val="11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9356" w:type="dxa"/>
        <w:tblCellSpacing w:w="0" w:type="dxa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3119"/>
        <w:gridCol w:w="2693"/>
        <w:gridCol w:w="3544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3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right="-217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исполнение </w:t>
            </w:r>
          </w:p>
        </w:tc>
        <w:tc>
          <w:tcPr>
            <w:tcW w:w="35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эффективность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(интерпретация оценки)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311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˃ 65%</w:t>
            </w:r>
          </w:p>
        </w:tc>
        <w:tc>
          <w:tcPr>
            <w:tcW w:w="269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60% ≤ 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 65%</w:t>
            </w:r>
          </w:p>
        </w:tc>
        <w:tc>
          <w:tcPr>
            <w:tcW w:w="354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перевыполнено при эффективном использовании бюджетных средств  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311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63% ≤ 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 65%</w:t>
            </w:r>
          </w:p>
        </w:tc>
        <w:tc>
          <w:tcPr>
            <w:tcW w:w="269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60% ≤ 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 65%</w:t>
            </w:r>
          </w:p>
        </w:tc>
        <w:tc>
          <w:tcPr>
            <w:tcW w:w="354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выполнено в полном объеме при эффективном использовании бюджетных средств  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311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63% ≤ 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 65%</w:t>
            </w:r>
          </w:p>
        </w:tc>
        <w:tc>
          <w:tcPr>
            <w:tcW w:w="269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исполнение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 60%</w:t>
            </w:r>
          </w:p>
        </w:tc>
        <w:tc>
          <w:tcPr>
            <w:tcW w:w="354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 выполнено в полном объеме с экономией бюджетных средств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результативность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 63%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60% ≤ 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≤ 65%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задание не выполнено при полном объеме бюджетных средств  </w:t>
            </w:r>
          </w:p>
        </w:tc>
      </w:tr>
    </w:tbl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муниципальное задание содержит несколько муниципальных услуг (работ), рассчитывается итоговое значение по каждому из критериев выполнения муниципального задания как средняя арифметическая величина.  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оценка эффективности выполнения муниципального задания и интерпретация итоговой оценки эффективности выполнения муниципального задания осуществляется на основании итоговых значений критериев.</w:t>
      </w: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>
      <w:pPr>
        <w:pStyle w:val="11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jc w:val="right"/>
        <w:outlineLvl w:val="1"/>
        <w:rPr>
          <w:rFonts w:ascii="Times New Roman" w:hAnsi="Times New Roman" w:cs="Times New Roman"/>
          <w:sz w:val="24"/>
          <w:szCs w:val="24"/>
        </w:rPr>
        <w:sectPr>
          <w:headerReference r:id="rId6" w:type="default"/>
          <w:pgSz w:w="11906" w:h="16838"/>
          <w:pgMar w:top="1418" w:right="851" w:bottom="1134" w:left="1701" w:header="720" w:footer="720" w:gutter="0"/>
          <w:pgNumType w:start="1"/>
          <w:cols w:space="720" w:num="1"/>
          <w:titlePg/>
          <w:docGrid w:linePitch="299" w:charSpace="0"/>
        </w:sectPr>
      </w:pPr>
    </w:p>
    <w:p>
      <w:pPr>
        <w:pStyle w:val="11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Методике оценки результативности и </w:t>
      </w:r>
    </w:p>
    <w:p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эффективности выполнения муниципальных</w:t>
      </w:r>
    </w:p>
    <w:p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заданий на оказание муниципальных услуг</w:t>
      </w:r>
    </w:p>
    <w:p>
      <w:pPr>
        <w:pStyle w:val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(выполнение работ)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33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предоставления результатов оценки результативности и эффективности</w:t>
      </w:r>
    </w:p>
    <w:p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выполнения муниципальных заданий</w:t>
      </w:r>
    </w:p>
    <w:p>
      <w:pPr>
        <w:pStyle w:val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оказание муниципальных услуг (выполнение работ)</w:t>
      </w:r>
    </w:p>
    <w:p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распорядитель бюджетных средств, учредитель __________________________________</w:t>
      </w: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14600" w:type="dxa"/>
        <w:tblCellSpacing w:w="0" w:type="dxa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1843"/>
        <w:gridCol w:w="3260"/>
        <w:gridCol w:w="1843"/>
        <w:gridCol w:w="1842"/>
        <w:gridCol w:w="1843"/>
        <w:gridCol w:w="1985"/>
        <w:gridCol w:w="1984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0" w:hRule="atLeast"/>
          <w:tblCellSpacing w:w="0" w:type="dxa"/>
        </w:trPr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3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муниципальных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 (работ)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оказания муниципальных услуг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(выполнения работ)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К1, (%)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Качество оказания муниципальных услуг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(выполнения работ)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К2, (%)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Результативность оказания муниципальных услуг (выполнения работ)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результативность, </w:t>
            </w:r>
            <w:r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Полнота использования средств бюджета на выполнение муниципального задания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исполнение</w:t>
            </w:r>
            <w:r>
              <w:rPr>
                <w:rFonts w:ascii="Times New Roman" w:hAnsi="Times New Roman" w:cs="Times New Roman"/>
              </w:rPr>
              <w:t>, (%)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Итоговая оценка эффективности выполнения муниципального задания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эффективность</w:t>
            </w:r>
            <w:r>
              <w:rPr>
                <w:rFonts w:ascii="Times New Roman" w:hAnsi="Times New Roman" w:cs="Times New Roman"/>
              </w:rPr>
              <w:t>,(%)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32" w:hRule="atLeast"/>
          <w:tblCellSpacing w:w="0" w:type="dxa"/>
        </w:trPr>
        <w:tc>
          <w:tcPr>
            <w:tcW w:w="1843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32" w:hRule="atLeast"/>
          <w:tblCellSpacing w:w="0" w:type="dxa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№ 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32" w:hRule="atLeast"/>
          <w:tblCellSpacing w:w="0" w:type="dxa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32" w:hRule="atLeast"/>
          <w:tblCellSpacing w:w="0" w:type="dxa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услуга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32" w:hRule="atLeast"/>
          <w:tblCellSpacing w:w="0" w:type="dxa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outlineLvl w:val="0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701" w:right="1134" w:bottom="851" w:left="1134" w:header="720" w:footer="720" w:gutter="0"/>
      <w:pgNumType w:start="1"/>
      <w:cols w:space="720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3112312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992163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9E"/>
    <w:rsid w:val="00065939"/>
    <w:rsid w:val="00077D18"/>
    <w:rsid w:val="000834AF"/>
    <w:rsid w:val="00085AF0"/>
    <w:rsid w:val="00090E19"/>
    <w:rsid w:val="0009245E"/>
    <w:rsid w:val="00095DC8"/>
    <w:rsid w:val="000E0D03"/>
    <w:rsid w:val="000F64ED"/>
    <w:rsid w:val="0010784C"/>
    <w:rsid w:val="00131650"/>
    <w:rsid w:val="001404BE"/>
    <w:rsid w:val="00141541"/>
    <w:rsid w:val="00142501"/>
    <w:rsid w:val="001749B5"/>
    <w:rsid w:val="001803DD"/>
    <w:rsid w:val="0018277B"/>
    <w:rsid w:val="001854F8"/>
    <w:rsid w:val="00186179"/>
    <w:rsid w:val="001A6471"/>
    <w:rsid w:val="001A66CE"/>
    <w:rsid w:val="001B67F3"/>
    <w:rsid w:val="001C0FA4"/>
    <w:rsid w:val="001C1A44"/>
    <w:rsid w:val="001C2C7F"/>
    <w:rsid w:val="001C75E5"/>
    <w:rsid w:val="001D0C0C"/>
    <w:rsid w:val="001E6568"/>
    <w:rsid w:val="002051AA"/>
    <w:rsid w:val="00210BA2"/>
    <w:rsid w:val="00212239"/>
    <w:rsid w:val="0021348A"/>
    <w:rsid w:val="0022221A"/>
    <w:rsid w:val="00230D20"/>
    <w:rsid w:val="00235851"/>
    <w:rsid w:val="002650FA"/>
    <w:rsid w:val="00282379"/>
    <w:rsid w:val="00287EEA"/>
    <w:rsid w:val="002B5062"/>
    <w:rsid w:val="002F66BB"/>
    <w:rsid w:val="003069E8"/>
    <w:rsid w:val="0031234B"/>
    <w:rsid w:val="00317D48"/>
    <w:rsid w:val="0033538D"/>
    <w:rsid w:val="0033645D"/>
    <w:rsid w:val="0034503E"/>
    <w:rsid w:val="0036237A"/>
    <w:rsid w:val="00375A72"/>
    <w:rsid w:val="00376396"/>
    <w:rsid w:val="00397CC6"/>
    <w:rsid w:val="003A0AE4"/>
    <w:rsid w:val="003A6E03"/>
    <w:rsid w:val="003B3129"/>
    <w:rsid w:val="003C3B74"/>
    <w:rsid w:val="003D2FE0"/>
    <w:rsid w:val="003D7660"/>
    <w:rsid w:val="003E13A1"/>
    <w:rsid w:val="003E1508"/>
    <w:rsid w:val="003E2196"/>
    <w:rsid w:val="003F2014"/>
    <w:rsid w:val="004009BE"/>
    <w:rsid w:val="00405C64"/>
    <w:rsid w:val="00425821"/>
    <w:rsid w:val="00426977"/>
    <w:rsid w:val="00431F11"/>
    <w:rsid w:val="00437E21"/>
    <w:rsid w:val="0047373A"/>
    <w:rsid w:val="00480BDB"/>
    <w:rsid w:val="00491D35"/>
    <w:rsid w:val="004A23F2"/>
    <w:rsid w:val="004A55F3"/>
    <w:rsid w:val="004B098F"/>
    <w:rsid w:val="004C0D78"/>
    <w:rsid w:val="004E6695"/>
    <w:rsid w:val="00516C73"/>
    <w:rsid w:val="005355B0"/>
    <w:rsid w:val="005471DB"/>
    <w:rsid w:val="00552174"/>
    <w:rsid w:val="00554C52"/>
    <w:rsid w:val="00563A90"/>
    <w:rsid w:val="00583DED"/>
    <w:rsid w:val="005A23EA"/>
    <w:rsid w:val="005A712B"/>
    <w:rsid w:val="005E614B"/>
    <w:rsid w:val="00610AB7"/>
    <w:rsid w:val="0062415D"/>
    <w:rsid w:val="00636B07"/>
    <w:rsid w:val="006448C7"/>
    <w:rsid w:val="006624C3"/>
    <w:rsid w:val="00665B2D"/>
    <w:rsid w:val="006A2D3B"/>
    <w:rsid w:val="006A70F4"/>
    <w:rsid w:val="006A71CC"/>
    <w:rsid w:val="006A72B6"/>
    <w:rsid w:val="006B4571"/>
    <w:rsid w:val="006C1F4E"/>
    <w:rsid w:val="006D7EB8"/>
    <w:rsid w:val="006E3CBD"/>
    <w:rsid w:val="006F1DA8"/>
    <w:rsid w:val="007022EC"/>
    <w:rsid w:val="007076B5"/>
    <w:rsid w:val="007163FD"/>
    <w:rsid w:val="007210BC"/>
    <w:rsid w:val="00727E83"/>
    <w:rsid w:val="00734493"/>
    <w:rsid w:val="00744EB2"/>
    <w:rsid w:val="00784AD3"/>
    <w:rsid w:val="0079641B"/>
    <w:rsid w:val="007C701D"/>
    <w:rsid w:val="007D0197"/>
    <w:rsid w:val="00804ED8"/>
    <w:rsid w:val="00812ED2"/>
    <w:rsid w:val="008273BF"/>
    <w:rsid w:val="008563A0"/>
    <w:rsid w:val="00860B27"/>
    <w:rsid w:val="008B138A"/>
    <w:rsid w:val="008B1D0F"/>
    <w:rsid w:val="008B2E2A"/>
    <w:rsid w:val="008C328C"/>
    <w:rsid w:val="008C666F"/>
    <w:rsid w:val="008C6B1F"/>
    <w:rsid w:val="008D306D"/>
    <w:rsid w:val="008E0E41"/>
    <w:rsid w:val="008E33EE"/>
    <w:rsid w:val="009008AC"/>
    <w:rsid w:val="00914B52"/>
    <w:rsid w:val="00917A65"/>
    <w:rsid w:val="00955877"/>
    <w:rsid w:val="00961CFD"/>
    <w:rsid w:val="00985AD7"/>
    <w:rsid w:val="009932F2"/>
    <w:rsid w:val="009A4E6F"/>
    <w:rsid w:val="009C118B"/>
    <w:rsid w:val="009E00A3"/>
    <w:rsid w:val="009E3DB8"/>
    <w:rsid w:val="009F24F8"/>
    <w:rsid w:val="009F7DB6"/>
    <w:rsid w:val="00A05CA7"/>
    <w:rsid w:val="00A36FD0"/>
    <w:rsid w:val="00A45AC7"/>
    <w:rsid w:val="00A54142"/>
    <w:rsid w:val="00A5648E"/>
    <w:rsid w:val="00A6614E"/>
    <w:rsid w:val="00A77870"/>
    <w:rsid w:val="00A85327"/>
    <w:rsid w:val="00A919CD"/>
    <w:rsid w:val="00AA183C"/>
    <w:rsid w:val="00AB34BC"/>
    <w:rsid w:val="00AB7A5E"/>
    <w:rsid w:val="00AD5C8C"/>
    <w:rsid w:val="00AD73C1"/>
    <w:rsid w:val="00AE1B8F"/>
    <w:rsid w:val="00B168D1"/>
    <w:rsid w:val="00B4125D"/>
    <w:rsid w:val="00B6474C"/>
    <w:rsid w:val="00B671D4"/>
    <w:rsid w:val="00B916CD"/>
    <w:rsid w:val="00B92DA5"/>
    <w:rsid w:val="00BA5CE1"/>
    <w:rsid w:val="00BA7473"/>
    <w:rsid w:val="00BB70F5"/>
    <w:rsid w:val="00BC7D6B"/>
    <w:rsid w:val="00BD4DBB"/>
    <w:rsid w:val="00BE1C52"/>
    <w:rsid w:val="00BE612D"/>
    <w:rsid w:val="00BF0022"/>
    <w:rsid w:val="00C40E21"/>
    <w:rsid w:val="00C502A9"/>
    <w:rsid w:val="00C67452"/>
    <w:rsid w:val="00C76A56"/>
    <w:rsid w:val="00C8328A"/>
    <w:rsid w:val="00C85E52"/>
    <w:rsid w:val="00C9331C"/>
    <w:rsid w:val="00CA593F"/>
    <w:rsid w:val="00CA6C44"/>
    <w:rsid w:val="00CD3A66"/>
    <w:rsid w:val="00CE4ACC"/>
    <w:rsid w:val="00CF4482"/>
    <w:rsid w:val="00CF59B6"/>
    <w:rsid w:val="00D15BE4"/>
    <w:rsid w:val="00D347B0"/>
    <w:rsid w:val="00D72194"/>
    <w:rsid w:val="00D77855"/>
    <w:rsid w:val="00D81216"/>
    <w:rsid w:val="00D951AC"/>
    <w:rsid w:val="00DB72A7"/>
    <w:rsid w:val="00DC4A61"/>
    <w:rsid w:val="00DC77F6"/>
    <w:rsid w:val="00E0170F"/>
    <w:rsid w:val="00E21245"/>
    <w:rsid w:val="00E40AEA"/>
    <w:rsid w:val="00E45E82"/>
    <w:rsid w:val="00E5476A"/>
    <w:rsid w:val="00E54E2D"/>
    <w:rsid w:val="00E72689"/>
    <w:rsid w:val="00E77DE5"/>
    <w:rsid w:val="00E91960"/>
    <w:rsid w:val="00E92557"/>
    <w:rsid w:val="00EA3ABB"/>
    <w:rsid w:val="00ED0598"/>
    <w:rsid w:val="00EE0CC8"/>
    <w:rsid w:val="00EF2BA1"/>
    <w:rsid w:val="00F04ABD"/>
    <w:rsid w:val="00F21D0E"/>
    <w:rsid w:val="00F42B76"/>
    <w:rsid w:val="00F47673"/>
    <w:rsid w:val="00F73279"/>
    <w:rsid w:val="00F842EA"/>
    <w:rsid w:val="00FA137C"/>
    <w:rsid w:val="00FA229E"/>
    <w:rsid w:val="00FC30E7"/>
    <w:rsid w:val="00FC4C74"/>
    <w:rsid w:val="00FE10B8"/>
    <w:rsid w:val="00FF1708"/>
    <w:rsid w:val="00FF2836"/>
    <w:rsid w:val="7736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5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paragraph" w:styleId="4">
    <w:name w:val="heading 4"/>
    <w:basedOn w:val="1"/>
    <w:next w:val="1"/>
    <w:link w:val="16"/>
    <w:qFormat/>
    <w:uiPriority w:val="0"/>
    <w:pPr>
      <w:keepNext/>
      <w:tabs>
        <w:tab w:val="left" w:pos="5812"/>
      </w:tabs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sz w:val="24"/>
      <w:szCs w:val="20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7"/>
    <w:qFormat/>
    <w:uiPriority w:val="0"/>
    <w:pPr>
      <w:tabs>
        <w:tab w:val="left" w:pos="1418"/>
      </w:tabs>
      <w:spacing w:after="0" w:line="240" w:lineRule="auto"/>
      <w:ind w:left="1418"/>
    </w:pPr>
    <w:rPr>
      <w:rFonts w:ascii="Times New Roman" w:hAnsi="Times New Roman" w:eastAsia="Times New Roman" w:cs="Times New Roman"/>
      <w:sz w:val="24"/>
      <w:szCs w:val="20"/>
    </w:rPr>
  </w:style>
  <w:style w:type="paragraph" w:styleId="10">
    <w:name w:val="footer"/>
    <w:basedOn w:val="1"/>
    <w:link w:val="1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paragraph" w:customStyle="1" w:styleId="12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character" w:customStyle="1" w:styleId="13">
    <w:name w:val="Текст выноски Знак"/>
    <w:basedOn w:val="5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Заголовок 1 Знак"/>
    <w:basedOn w:val="5"/>
    <w:link w:val="2"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5">
    <w:name w:val="Заголовок 3 Знак"/>
    <w:basedOn w:val="5"/>
    <w:link w:val="3"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6">
    <w:name w:val="Заголовок 4 Знак"/>
    <w:basedOn w:val="5"/>
    <w:link w:val="4"/>
    <w:qFormat/>
    <w:uiPriority w:val="0"/>
    <w:rPr>
      <w:rFonts w:ascii="Times New Roman" w:hAnsi="Times New Roman" w:eastAsia="Times New Roman" w:cs="Times New Roman"/>
      <w:b/>
      <w:sz w:val="24"/>
      <w:szCs w:val="20"/>
    </w:rPr>
  </w:style>
  <w:style w:type="character" w:customStyle="1" w:styleId="17">
    <w:name w:val="Основной текст с отступом Знак"/>
    <w:basedOn w:val="5"/>
    <w:link w:val="9"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18">
    <w:name w:val="Верхний колонтитул Знак"/>
    <w:basedOn w:val="5"/>
    <w:link w:val="8"/>
    <w:qFormat/>
    <w:uiPriority w:val="99"/>
  </w:style>
  <w:style w:type="character" w:customStyle="1" w:styleId="19">
    <w:name w:val="Нижний колонтитул Знак"/>
    <w:basedOn w:val="5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632E2F-EDA3-4CA5-8B55-0D95EBEC67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8</Pages>
  <Words>2000</Words>
  <Characters>11406</Characters>
  <Lines>95</Lines>
  <Paragraphs>26</Paragraphs>
  <TotalTime>0</TotalTime>
  <ScaleCrop>false</ScaleCrop>
  <LinksUpToDate>false</LinksUpToDate>
  <CharactersWithSpaces>13380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2023-07-04T11:08:00Z</dcterms:created>
  <dc:creator>TarasovaVV</dc:creator>
  <cp:lastModifiedBy>NachSvBudPlan</cp:lastModifiedBy>
  <cp:lastPrinted>2017-01-23T06:43:00Z</cp:lastPrinted>
  <dcterms:modified xsi:type="dcterms:W3CDTF">2025-06-09T13:29:13Z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