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1B" w:rsidRDefault="0028671D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48970" cy="88646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983" cy="8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51B" w:rsidRDefault="0028671D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:rsidR="0094451B" w:rsidRDefault="0028671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94451B" w:rsidRDefault="0094451B">
      <w:pPr>
        <w:spacing w:after="0" w:line="240" w:lineRule="auto"/>
        <w:jc w:val="right"/>
        <w:rPr>
          <w:rFonts w:eastAsia="Times New Roman"/>
          <w:sz w:val="24"/>
          <w:szCs w:val="20"/>
          <w:lang w:eastAsia="ru-RU"/>
        </w:rPr>
      </w:pPr>
    </w:p>
    <w:p w:rsidR="0094451B" w:rsidRDefault="0094451B">
      <w:pPr>
        <w:spacing w:after="0" w:line="240" w:lineRule="auto"/>
        <w:jc w:val="center"/>
        <w:rPr>
          <w:rFonts w:eastAsia="Times New Roman"/>
          <w:sz w:val="24"/>
          <w:szCs w:val="20"/>
          <w:lang w:eastAsia="ru-RU"/>
        </w:rPr>
      </w:pPr>
    </w:p>
    <w:p w:rsidR="0094451B" w:rsidRDefault="0028671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94451B" w:rsidRDefault="0094451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4451B" w:rsidRDefault="0094451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94451B" w:rsidRDefault="0028671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94451B" w:rsidRDefault="0094451B">
      <w:pPr>
        <w:pStyle w:val="31"/>
      </w:pPr>
    </w:p>
    <w:p w:rsidR="0094451B" w:rsidRDefault="0094451B">
      <w:pPr>
        <w:pStyle w:val="31"/>
      </w:pPr>
    </w:p>
    <w:p w:rsidR="0094451B" w:rsidRDefault="0094451B">
      <w:pPr>
        <w:pStyle w:val="31"/>
      </w:pPr>
    </w:p>
    <w:p w:rsidR="0094451B" w:rsidRDefault="004A019C" w:rsidP="004A019C">
      <w:pPr>
        <w:pStyle w:val="31"/>
        <w:jc w:val="left"/>
      </w:pPr>
      <w:r>
        <w:t xml:space="preserve">от 5 июня </w:t>
      </w:r>
      <w:r w:rsidR="0028671D">
        <w:t xml:space="preserve">2025 года                                                                         </w:t>
      </w:r>
      <w:r>
        <w:t xml:space="preserve">                                       № 366</w:t>
      </w:r>
    </w:p>
    <w:p w:rsidR="0094451B" w:rsidRDefault="0094451B">
      <w:pPr>
        <w:pStyle w:val="31"/>
        <w:rPr>
          <w:b/>
          <w:bCs/>
        </w:rPr>
      </w:pPr>
    </w:p>
    <w:p w:rsidR="0094451B" w:rsidRDefault="0094451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4451B" w:rsidRDefault="0028671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1 к постановлению администрации Белоярского района от 5 декабря 2024 года № 855 </w:t>
      </w:r>
    </w:p>
    <w:p w:rsidR="0094451B" w:rsidRDefault="0094451B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highlight w:val="yellow"/>
          <w:lang w:eastAsia="ru-RU"/>
        </w:rPr>
      </w:pPr>
    </w:p>
    <w:p w:rsidR="004A019C" w:rsidRDefault="004A019C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highlight w:val="yellow"/>
          <w:lang w:eastAsia="ru-RU"/>
        </w:rPr>
      </w:pPr>
    </w:p>
    <w:p w:rsidR="0094451B" w:rsidRDefault="0028671D">
      <w:pPr>
        <w:spacing w:after="0" w:line="240" w:lineRule="auto"/>
        <w:ind w:firstLineChars="125" w:firstLine="39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pacing w:val="72"/>
          <w:sz w:val="24"/>
          <w:szCs w:val="24"/>
          <w:lang w:eastAsia="ru-RU"/>
        </w:rPr>
        <w:t>Постановля</w:t>
      </w:r>
      <w:r>
        <w:rPr>
          <w:rFonts w:eastAsia="Times New Roman"/>
          <w:sz w:val="24"/>
          <w:szCs w:val="24"/>
          <w:lang w:eastAsia="ru-RU"/>
        </w:rPr>
        <w:t>ю:</w:t>
      </w:r>
    </w:p>
    <w:p w:rsidR="0094451B" w:rsidRDefault="0028671D">
      <w:pPr>
        <w:spacing w:after="0" w:line="240" w:lineRule="auto"/>
        <w:ind w:firstLineChars="125" w:firstLine="3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1 «Муниципальная программа Белоярского района «Управление муниципальными финансами в Белоярском районе» </w:t>
      </w:r>
      <w:r>
        <w:rPr>
          <w:rFonts w:eastAsia="Times New Roman"/>
          <w:sz w:val="24"/>
          <w:szCs w:val="24"/>
          <w:lang w:eastAsia="ru-RU"/>
        </w:rPr>
        <w:t xml:space="preserve">(далее – муниципальная программа) к постановлению администрации Белоярского района от 5 декабря 2024 года   № 855 </w:t>
      </w:r>
      <w:r w:rsidR="004A019C">
        <w:rPr>
          <w:rFonts w:eastAsia="Times New Roman"/>
          <w:sz w:val="24"/>
          <w:szCs w:val="24"/>
          <w:lang w:eastAsia="ru-RU"/>
        </w:rPr>
        <w:t xml:space="preserve">         </w:t>
      </w:r>
      <w:r>
        <w:rPr>
          <w:rFonts w:eastAsia="Times New Roman"/>
          <w:sz w:val="24"/>
          <w:szCs w:val="24"/>
          <w:lang w:eastAsia="ru-RU"/>
        </w:rPr>
        <w:t>«Об утверждении муниципальной программы Белоярского района «Управление муниципальными финансами в Белоярском районе» следующие изменения:</w:t>
      </w:r>
    </w:p>
    <w:p w:rsidR="0094451B" w:rsidRDefault="0028671D">
      <w:pPr>
        <w:spacing w:after="0" w:line="240" w:lineRule="auto"/>
        <w:ind w:firstLineChars="125" w:firstLine="3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1) с</w:t>
      </w:r>
      <w:r>
        <w:rPr>
          <w:rFonts w:eastAsia="Times New Roman"/>
          <w:sz w:val="24"/>
          <w:szCs w:val="24"/>
          <w:lang w:eastAsia="ru-RU"/>
        </w:rPr>
        <w:t>троку «</w:t>
      </w:r>
      <w:r>
        <w:rPr>
          <w:color w:val="000000"/>
          <w:sz w:val="24"/>
          <w:szCs w:val="24"/>
          <w:lang w:eastAsia="zh-CN" w:bidi="ar"/>
        </w:rPr>
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Югры» </w:t>
      </w:r>
      <w:r>
        <w:rPr>
          <w:rFonts w:eastAsia="Times New Roman"/>
          <w:sz w:val="24"/>
          <w:szCs w:val="24"/>
          <w:lang w:eastAsia="ru-RU"/>
        </w:rPr>
        <w:t xml:space="preserve">Паспорта муниципальной программы Белоярского района «Управление муниципальными финансами в Белоярском районе» </w:t>
      </w:r>
      <w:r>
        <w:rPr>
          <w:rFonts w:eastAsia="Times New Roman"/>
          <w:sz w:val="24"/>
          <w:szCs w:val="24"/>
          <w:lang w:eastAsia="ru-RU"/>
        </w:rPr>
        <w:t>(далее – Паспорт муниципальной программы) изложить в следующей редакции:</w:t>
      </w:r>
    </w:p>
    <w:p w:rsidR="0094451B" w:rsidRDefault="0028671D">
      <w:pPr>
        <w:spacing w:after="0" w:line="240" w:lineRule="auto"/>
        <w:ind w:firstLine="142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1"/>
        <w:gridCol w:w="6421"/>
      </w:tblGrid>
      <w:tr w:rsidR="0094451B">
        <w:trPr>
          <w:trHeight w:val="904"/>
        </w:trPr>
        <w:tc>
          <w:tcPr>
            <w:tcW w:w="1691" w:type="pct"/>
            <w:vAlign w:val="center"/>
          </w:tcPr>
          <w:p w:rsidR="0094451B" w:rsidRDefault="0028671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</w:p>
        </w:tc>
        <w:tc>
          <w:tcPr>
            <w:tcW w:w="3309" w:type="pct"/>
          </w:tcPr>
          <w:p w:rsidR="0094451B" w:rsidRDefault="004A019C">
            <w:pPr>
              <w:spacing w:after="0" w:line="240" w:lineRule="auto"/>
              <w:textAlignment w:val="top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1. Государственная </w:t>
            </w:r>
            <w:r w:rsidR="0028671D">
              <w:rPr>
                <w:color w:val="000000"/>
                <w:sz w:val="24"/>
                <w:szCs w:val="24"/>
                <w:lang w:eastAsia="zh-CN" w:bidi="ar"/>
              </w:rPr>
              <w:t>программа Ханты-Мансийского</w:t>
            </w:r>
            <w:r w:rsidR="0028671D">
              <w:rPr>
                <w:color w:val="000000"/>
                <w:sz w:val="24"/>
                <w:szCs w:val="24"/>
                <w:lang w:eastAsia="zh-CN" w:bidi="ar"/>
              </w:rPr>
              <w:t xml:space="preserve"> автономного округа - Югры «Управление государственными финансами и создание условий для эффективного управления муниципальными финансами».</w:t>
            </w:r>
          </w:p>
          <w:p w:rsidR="0094451B" w:rsidRDefault="0028671D">
            <w:pPr>
              <w:spacing w:after="0" w:line="240" w:lineRule="auto"/>
              <w:textAlignment w:val="top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eastAsia="Calibri"/>
                <w:sz w:val="24"/>
                <w:szCs w:val="24"/>
              </w:rPr>
              <w:t>Государственная программа Ханты-Мансийского автономного округа - Югры «Развитие гражданского общества»</w:t>
            </w:r>
          </w:p>
        </w:tc>
      </w:tr>
    </w:tbl>
    <w:p w:rsidR="0094451B" w:rsidRDefault="0028671D">
      <w:pPr>
        <w:spacing w:after="0" w:line="240" w:lineRule="auto"/>
        <w:ind w:firstLineChars="125" w:firstLine="300"/>
        <w:jc w:val="right"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val="en-US" w:eastAsia="ru-RU"/>
        </w:rPr>
        <w:t>»;</w:t>
      </w:r>
    </w:p>
    <w:p w:rsidR="0094451B" w:rsidRDefault="0028671D">
      <w:pPr>
        <w:pStyle w:val="aff0"/>
        <w:numPr>
          <w:ilvl w:val="0"/>
          <w:numId w:val="1"/>
        </w:num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пункт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4A019C">
        <w:rPr>
          <w:rFonts w:eastAsia="Times New Roman"/>
          <w:sz w:val="24"/>
          <w:szCs w:val="24"/>
          <w:lang w:eastAsia="ru-RU"/>
        </w:rPr>
        <w:t xml:space="preserve">5 раздела </w:t>
      </w:r>
      <w:r>
        <w:rPr>
          <w:rFonts w:eastAsia="Times New Roman"/>
          <w:sz w:val="24"/>
          <w:szCs w:val="24"/>
          <w:lang w:eastAsia="ru-RU"/>
        </w:rPr>
        <w:t>2 «Показатели муниципальной программы» Паспорта муниципальной пр</w:t>
      </w:r>
      <w:r>
        <w:rPr>
          <w:rFonts w:eastAsia="Times New Roman"/>
          <w:sz w:val="24"/>
          <w:szCs w:val="24"/>
          <w:lang w:eastAsia="ru-RU"/>
        </w:rPr>
        <w:t>ограммы изложить в редакции согласно приложению 1 к настоящему постановлению;</w:t>
      </w:r>
    </w:p>
    <w:p w:rsidR="0094451B" w:rsidRDefault="0028671D">
      <w:pPr>
        <w:pStyle w:val="aff0"/>
        <w:numPr>
          <w:ilvl w:val="0"/>
          <w:numId w:val="1"/>
        </w:num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4 «Финансовое обеспечение муниципальной программы» Паспорта муниципальной программы изложить в р</w:t>
      </w:r>
      <w:r>
        <w:rPr>
          <w:rFonts w:eastAsia="Times New Roman"/>
          <w:sz w:val="24"/>
          <w:szCs w:val="24"/>
          <w:lang w:eastAsia="ru-RU"/>
        </w:rPr>
        <w:t xml:space="preserve">едакции согласно приложению </w:t>
      </w:r>
      <w:r>
        <w:rPr>
          <w:rFonts w:eastAsia="Times New Roman"/>
          <w:sz w:val="24"/>
          <w:szCs w:val="24"/>
          <w:lang w:val="en-US" w:eastAsia="ru-RU"/>
        </w:rPr>
        <w:t>2 к настоящему постановлению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94451B" w:rsidRDefault="0094451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94451B" w:rsidRDefault="0028671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раздел 4.1 «Перечень мероприятий муниципальной программы» Паспорта муниципальной программы изложить в редакции согласно приложению </w:t>
      </w:r>
      <w:r>
        <w:rPr>
          <w:rFonts w:eastAsia="Times New Roman"/>
          <w:sz w:val="24"/>
          <w:szCs w:val="24"/>
          <w:lang w:val="en-US"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постановлению;</w:t>
      </w:r>
    </w:p>
    <w:p w:rsidR="0094451B" w:rsidRDefault="0028671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5) приложение 1 к муниципальной п</w:t>
      </w:r>
      <w:r>
        <w:rPr>
          <w:rFonts w:eastAsia="Times New Roman"/>
          <w:sz w:val="24"/>
          <w:szCs w:val="24"/>
          <w:lang w:eastAsia="ru-RU"/>
        </w:rPr>
        <w:t xml:space="preserve">рограмме изложить в редакции согласно приложению </w:t>
      </w:r>
      <w:r w:rsidRPr="004A019C">
        <w:rPr>
          <w:rFonts w:eastAsia="Times New Roman"/>
          <w:sz w:val="24"/>
          <w:szCs w:val="24"/>
          <w:lang w:eastAsia="ru-RU"/>
        </w:rPr>
        <w:t xml:space="preserve">4 к настоящему постановлению. </w:t>
      </w:r>
    </w:p>
    <w:p w:rsidR="0094451B" w:rsidRDefault="004A019C">
      <w:pPr>
        <w:spacing w:after="0" w:line="240" w:lineRule="auto"/>
        <w:ind w:firstLineChars="125" w:firstLine="3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 w:rsidR="0028671D">
        <w:rPr>
          <w:rFonts w:eastAsia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94451B" w:rsidRDefault="004A019C">
      <w:pPr>
        <w:spacing w:after="0" w:line="240" w:lineRule="auto"/>
        <w:ind w:firstLineChars="125" w:firstLine="3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 w:rsidR="0028671D"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94451B" w:rsidRDefault="004A019C">
      <w:pPr>
        <w:spacing w:after="0" w:line="240" w:lineRule="auto"/>
        <w:ind w:firstLineChars="125" w:firstLine="3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 w:rsidR="0028671D">
        <w:rPr>
          <w:rFonts w:eastAsia="Times New Roman"/>
          <w:sz w:val="24"/>
          <w:szCs w:val="24"/>
          <w:lang w:eastAsia="ru-RU"/>
        </w:rPr>
        <w:t xml:space="preserve">4. </w:t>
      </w:r>
      <w:r w:rsidR="0028671D">
        <w:rPr>
          <w:rFonts w:eastAsia="Times New Roman"/>
          <w:sz w:val="24"/>
          <w:szCs w:val="24"/>
          <w:lang w:eastAsia="ru-RU"/>
        </w:rPr>
        <w:t>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И.А. Плохих.</w:t>
      </w:r>
    </w:p>
    <w:p w:rsidR="0094451B" w:rsidRDefault="0094451B"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4451B" w:rsidRDefault="0094451B"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A019C" w:rsidRDefault="004A019C"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4451B" w:rsidRDefault="0028671D"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Глава Белоярского района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eastAsia="Times New Roman"/>
          <w:sz w:val="24"/>
          <w:szCs w:val="24"/>
          <w:lang w:eastAsia="ru-RU"/>
        </w:rPr>
        <w:tab/>
        <w:t>С.П.Маненков</w:t>
      </w:r>
    </w:p>
    <w:p w:rsidR="0094451B" w:rsidRDefault="0094451B"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  <w:sectPr w:rsidR="0094451B" w:rsidSect="004A01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993" w:right="850" w:bottom="1134" w:left="1559" w:header="709" w:footer="709" w:gutter="0"/>
          <w:pgNumType w:start="1"/>
          <w:cols w:space="0"/>
          <w:titlePg/>
          <w:docGrid w:linePitch="360"/>
        </w:sectPr>
      </w:pP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4451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4451B" w:rsidRDefault="0028671D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451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4451B" w:rsidRDefault="0028671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94451B" w:rsidRDefault="0028671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:rsidR="0094451B" w:rsidRDefault="0028671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 w:rsidR="004A019C">
              <w:rPr>
                <w:rFonts w:eastAsia="Times New Roman"/>
                <w:sz w:val="24"/>
                <w:szCs w:val="24"/>
                <w:lang w:eastAsia="ru-RU"/>
              </w:rPr>
              <w:t>5 июня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2025 года №</w:t>
            </w:r>
            <w:r w:rsidR="004A019C">
              <w:rPr>
                <w:rFonts w:eastAsia="Times New Roman"/>
                <w:sz w:val="24"/>
                <w:szCs w:val="24"/>
                <w:lang w:eastAsia="ru-RU"/>
              </w:rPr>
              <w:t xml:space="preserve"> 366</w:t>
            </w:r>
          </w:p>
        </w:tc>
      </w:tr>
    </w:tbl>
    <w:p w:rsidR="0094451B" w:rsidRDefault="0094451B">
      <w:pPr>
        <w:spacing w:after="0" w:line="240" w:lineRule="auto"/>
        <w:jc w:val="right"/>
        <w:rPr>
          <w:highlight w:val="yellow"/>
        </w:rPr>
      </w:pPr>
    </w:p>
    <w:p w:rsidR="0094451B" w:rsidRDefault="0094451B">
      <w:pPr>
        <w:spacing w:after="0" w:line="240" w:lineRule="auto"/>
        <w:jc w:val="right"/>
        <w:rPr>
          <w:highlight w:val="yellow"/>
        </w:rPr>
      </w:pPr>
    </w:p>
    <w:p w:rsidR="0094451B" w:rsidRDefault="0028671D">
      <w:pPr>
        <w:wordWrap w:val="0"/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:rsidR="0094451B" w:rsidRDefault="0028671D">
      <w:pPr>
        <w:wordWrap w:val="0"/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пункт 5 раздела 2 «Показатели муниципальной программы» Паспорта муниципальной программы Белоярского района</w:t>
      </w:r>
    </w:p>
    <w:p w:rsidR="0094451B" w:rsidRDefault="0028671D">
      <w:pPr>
        <w:wordWrap w:val="0"/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«Управление муниципальными финансами в Белоярском районе»  </w:t>
      </w:r>
    </w:p>
    <w:p w:rsidR="0094451B" w:rsidRDefault="0094451B">
      <w:pPr>
        <w:wordWrap w:val="0"/>
        <w:spacing w:after="0" w:line="240" w:lineRule="auto"/>
        <w:ind w:right="-29"/>
        <w:jc w:val="center"/>
        <w:rPr>
          <w:sz w:val="24"/>
          <w:szCs w:val="24"/>
        </w:rPr>
      </w:pPr>
    </w:p>
    <w:p w:rsidR="0094451B" w:rsidRDefault="0028671D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«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1276"/>
        <w:gridCol w:w="1134"/>
        <w:gridCol w:w="718"/>
        <w:gridCol w:w="851"/>
        <w:gridCol w:w="708"/>
        <w:gridCol w:w="709"/>
        <w:gridCol w:w="709"/>
        <w:gridCol w:w="709"/>
        <w:gridCol w:w="992"/>
        <w:gridCol w:w="2410"/>
        <w:gridCol w:w="1418"/>
        <w:gridCol w:w="1124"/>
      </w:tblGrid>
      <w:tr w:rsidR="0094451B">
        <w:trPr>
          <w:trHeight w:val="192"/>
          <w:tblHeader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4A01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№</w:t>
            </w:r>
            <w:r w:rsidR="0028671D">
              <w:rPr>
                <w:rFonts w:eastAsia="Times New Roman"/>
                <w:color w:val="000000"/>
                <w:lang w:eastAsia="ru-RU"/>
              </w:rPr>
              <w:t xml:space="preserve"> п/п</w:t>
            </w: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eastAsia="Times New Roman"/>
                <w:color w:val="000000"/>
                <w:lang w:eastAsia="ru-RU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Единица измерения (по </w:t>
            </w:r>
            <w:r>
              <w:rPr>
                <w:rFonts w:eastAsia="Times New Roman"/>
                <w:lang w:eastAsia="ru-RU"/>
              </w:rPr>
              <w:t xml:space="preserve">ОКЕИ) 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Базовое значение</w:t>
            </w:r>
          </w:p>
        </w:tc>
        <w:tc>
          <w:tcPr>
            <w:tcW w:w="46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Связь с показателями национальных целей</w:t>
            </w:r>
          </w:p>
        </w:tc>
      </w:tr>
      <w:tr w:rsidR="0094451B">
        <w:trPr>
          <w:trHeight w:val="60"/>
          <w:tblHeader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9445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9445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9445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2030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94451B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9445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51B" w:rsidRDefault="009445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4451B">
        <w:trPr>
          <w:trHeight w:val="120"/>
          <w:tblHeader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</w:t>
            </w:r>
          </w:p>
        </w:tc>
      </w:tr>
      <w:tr w:rsidR="0094451B">
        <w:trPr>
          <w:trHeight w:val="16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ru-RU"/>
              </w:rPr>
              <w:t>Количество инициативных проектов, реализованных с привлечением средств бюджета Ханты-Мансийского автономного округа – Югры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451B" w:rsidRDefault="0028671D">
            <w:pPr>
              <w:pStyle w:val="a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Думы Белоярского района от 13 февраля 2020 года №5 «Об утверждении Правил предоставления </w:t>
            </w:r>
            <w:r>
              <w:rPr>
                <w:sz w:val="22"/>
                <w:szCs w:val="22"/>
              </w:rPr>
              <w:t>межбюджетных трансфертов из бюджета Белоярского района бюджетам городского и сельских поселений в границах Белоярского района»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финансам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1B" w:rsidRDefault="0028671D">
            <w:pPr>
              <w:pStyle w:val="a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4451B" w:rsidRDefault="0028671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94451B" w:rsidRDefault="0094451B">
      <w:pPr>
        <w:spacing w:after="0" w:line="240" w:lineRule="auto"/>
        <w:jc w:val="right"/>
        <w:rPr>
          <w:sz w:val="24"/>
          <w:szCs w:val="24"/>
        </w:rPr>
      </w:pP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4451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4451B" w:rsidRDefault="0094451B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4451B" w:rsidRDefault="0028671D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2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451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4451B" w:rsidRDefault="0028671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94451B" w:rsidRDefault="0028671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:rsidR="0094451B" w:rsidRDefault="004A019C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5 июня</w:t>
            </w:r>
            <w:r w:rsidR="0028671D">
              <w:rPr>
                <w:rFonts w:eastAsia="Times New Roman"/>
                <w:sz w:val="24"/>
                <w:szCs w:val="24"/>
                <w:lang w:eastAsia="ru-RU"/>
              </w:rPr>
              <w:t xml:space="preserve"> 2025 года 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366</w:t>
            </w:r>
          </w:p>
        </w:tc>
      </w:tr>
    </w:tbl>
    <w:p w:rsidR="0094451B" w:rsidRDefault="0094451B">
      <w:pPr>
        <w:spacing w:after="0" w:line="240" w:lineRule="auto"/>
        <w:jc w:val="right"/>
        <w:rPr>
          <w:highlight w:val="yellow"/>
        </w:rPr>
      </w:pPr>
    </w:p>
    <w:p w:rsidR="0094451B" w:rsidRDefault="0094451B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:rsidR="0094451B" w:rsidRDefault="0028671D">
      <w:pPr>
        <w:spacing w:after="0" w:line="240" w:lineRule="auto"/>
        <w:ind w:right="-2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 З М Е Н Е Н И Я,</w:t>
      </w:r>
    </w:p>
    <w:p w:rsidR="0094451B" w:rsidRDefault="0028671D">
      <w:pPr>
        <w:spacing w:after="0" w:line="240" w:lineRule="auto"/>
        <w:ind w:right="-2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вносимые в раздел 4 Паспорта муниципальной программы Белоярского района</w:t>
      </w:r>
    </w:p>
    <w:p w:rsidR="0094451B" w:rsidRDefault="0028671D">
      <w:pPr>
        <w:spacing w:after="0" w:line="240" w:lineRule="auto"/>
        <w:ind w:right="-2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«Управление муниципальными финансами в Белоярском районе»</w:t>
      </w:r>
    </w:p>
    <w:p w:rsidR="0094451B" w:rsidRDefault="0094451B">
      <w:pPr>
        <w:spacing w:after="0" w:line="240" w:lineRule="auto"/>
        <w:ind w:right="-29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94451B" w:rsidRDefault="0028671D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«4. Финансовое обеспечение муниципальной программы</w:t>
      </w:r>
    </w:p>
    <w:p w:rsidR="0094451B" w:rsidRDefault="0094451B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4440" w:type="dxa"/>
        <w:tblInd w:w="91" w:type="dxa"/>
        <w:tblLook w:val="04A0" w:firstRow="1" w:lastRow="0" w:firstColumn="1" w:lastColumn="0" w:noHBand="0" w:noVBand="1"/>
      </w:tblPr>
      <w:tblGrid>
        <w:gridCol w:w="980"/>
        <w:gridCol w:w="5759"/>
        <w:gridCol w:w="1078"/>
        <w:gridCol w:w="1078"/>
        <w:gridCol w:w="1078"/>
        <w:gridCol w:w="1078"/>
        <w:gridCol w:w="1078"/>
        <w:gridCol w:w="1078"/>
        <w:gridCol w:w="1233"/>
      </w:tblGrid>
      <w:tr w:rsidR="0094451B">
        <w:trPr>
          <w:trHeight w:val="300"/>
          <w:tblHeader/>
        </w:trPr>
        <w:tc>
          <w:tcPr>
            <w:tcW w:w="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N п/п</w:t>
            </w:r>
          </w:p>
        </w:tc>
        <w:tc>
          <w:tcPr>
            <w:tcW w:w="57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Наименование муниципальной программы, </w:t>
            </w:r>
            <w:r>
              <w:rPr>
                <w:sz w:val="18"/>
                <w:szCs w:val="18"/>
                <w:lang w:eastAsia="zh-CN" w:bidi="ar"/>
              </w:rPr>
              <w:t>структурного элемента, мероприятия (результата), источник финансового обеспечения</w:t>
            </w:r>
          </w:p>
        </w:tc>
        <w:tc>
          <w:tcPr>
            <w:tcW w:w="770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 w:bidi="ar"/>
              </w:rPr>
              <w:t>Объем финансового обеспечения по годам, тыс. рублей</w:t>
            </w:r>
          </w:p>
        </w:tc>
      </w:tr>
      <w:tr w:rsidR="0094451B">
        <w:trPr>
          <w:trHeight w:val="300"/>
          <w:tblHeader/>
        </w:trPr>
        <w:tc>
          <w:tcPr>
            <w:tcW w:w="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Всего</w:t>
            </w:r>
          </w:p>
        </w:tc>
      </w:tr>
      <w:tr w:rsidR="0094451B">
        <w:trPr>
          <w:trHeight w:val="52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Муниципальная программа «Управление муниципальными финансами в </w:t>
            </w:r>
            <w:r>
              <w:rPr>
                <w:b/>
                <w:sz w:val="18"/>
                <w:szCs w:val="18"/>
              </w:rPr>
              <w:t>Белоярском районе»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420 852,5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306 306,1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355 232,2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269 288,0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269 288,0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269 288,0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1 890 254,8</w:t>
            </w:r>
          </w:p>
        </w:tc>
      </w:tr>
      <w:tr w:rsidR="0094451B">
        <w:trPr>
          <w:trHeight w:val="24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4 718,6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5 172,1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31 328,7</w:t>
            </w:r>
          </w:p>
        </w:tc>
      </w:tr>
      <w:tr w:rsidR="0094451B">
        <w:trPr>
          <w:trHeight w:val="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бюджет ХМАО-Югры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162 419,8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106 999,7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106 563,7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106 563,7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106 </w:t>
            </w:r>
            <w:r>
              <w:rPr>
                <w:b/>
                <w:sz w:val="18"/>
                <w:szCs w:val="18"/>
              </w:rPr>
              <w:t>563,7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106 563,7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695 674,3</w:t>
            </w:r>
          </w:p>
        </w:tc>
      </w:tr>
      <w:tr w:rsidR="0094451B">
        <w:trPr>
          <w:trHeight w:val="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253 714,1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194 134,3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243 309,0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157 364,8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157 364,8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157 364,8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1 149 932,1</w:t>
            </w:r>
          </w:p>
        </w:tc>
      </w:tr>
      <w:tr w:rsidR="0094451B">
        <w:trPr>
          <w:trHeight w:val="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Объем налоговых расходов Белоярского района (справочно)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15 625,0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15 625,0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15 625,0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15 625,0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15 625,0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15 625,0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93 750,0</w:t>
            </w:r>
          </w:p>
        </w:tc>
      </w:tr>
      <w:tr w:rsidR="0094451B">
        <w:trPr>
          <w:trHeight w:val="4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44 399,0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44 399,0</w:t>
            </w:r>
          </w:p>
        </w:tc>
      </w:tr>
      <w:tr w:rsidR="0094451B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ХМАО-Югры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31 079,3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31 079,3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13 319,7</w:t>
            </w:r>
          </w:p>
        </w:tc>
      </w:tr>
      <w:tr w:rsidR="0094451B">
        <w:trPr>
          <w:trHeight w:val="5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</w:t>
            </w:r>
            <w:r>
              <w:rPr>
                <w:sz w:val="18"/>
                <w:szCs w:val="18"/>
              </w:rPr>
              <w:t>«Инициативный проект «Торум Хары» / «Под открытым небом». Благоустройство этнокультурного парка «Ай Курт» в сельском поселении Сосновка, 3 этап»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13 995,2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13 995,2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 - 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9 796,6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9 796,6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>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4 198,6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4 198,6</w:t>
            </w:r>
          </w:p>
        </w:tc>
      </w:tr>
      <w:tr w:rsidR="0094451B">
        <w:trPr>
          <w:trHeight w:val="3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«Благоустройство общественной территории «Двор мечты - 2 этап»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8 186,3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8 186,3</w:t>
            </w:r>
          </w:p>
        </w:tc>
      </w:tr>
      <w:tr w:rsidR="0094451B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 - 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5 730,4</w:t>
            </w:r>
          </w:p>
        </w:tc>
      </w:tr>
      <w:tr w:rsidR="0094451B">
        <w:trPr>
          <w:trHeight w:val="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455,9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2 455,9</w:t>
            </w:r>
          </w:p>
        </w:tc>
      </w:tr>
      <w:tr w:rsidR="0094451B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«Ресурс-трек "Траектория гения»: создание креативного пространства возле ресурсного центра»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2 533,3</w:t>
            </w:r>
          </w:p>
        </w:tc>
      </w:tr>
      <w:tr w:rsidR="0094451B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 - 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1 773,3</w:t>
            </w:r>
          </w:p>
        </w:tc>
      </w:tr>
      <w:tr w:rsidR="0094451B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</w:t>
            </w:r>
          </w:p>
        </w:tc>
      </w:tr>
      <w:tr w:rsidR="0094451B">
        <w:trPr>
          <w:trHeight w:val="3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«Благоустройство центральной площадки в с.Казым. Площадь перед школой «Омащ хар», 2 этап»»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14 151,4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14 151,4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 - 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9 906,0</w:t>
            </w:r>
          </w:p>
        </w:tc>
      </w:tr>
      <w:tr w:rsidR="0094451B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>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4 245,4</w:t>
            </w:r>
          </w:p>
        </w:tc>
      </w:tr>
      <w:tr w:rsidR="0094451B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«Обустройство многофункциональной парковой зоны сельского поселения Лыхма «ПАРК «СЕМЕЙНЫЙ» - 5 этап»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5 532,8</w:t>
            </w:r>
          </w:p>
        </w:tc>
      </w:tr>
      <w:tr w:rsidR="0094451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 - 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3 873,0</w:t>
            </w:r>
          </w:p>
        </w:tc>
      </w:tr>
      <w:tr w:rsidR="0094451B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1 659,8</w:t>
            </w:r>
          </w:p>
        </w:tc>
      </w:tr>
      <w:tr w:rsidR="0094451B">
        <w:trPr>
          <w:trHeight w:val="7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Комплекс процессных мероприятий «Эффективное управление резервными средствами и муниципальным долгом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53 486,5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42 342,3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87 098,2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185 244,5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53 486,5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42 342,3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87 098,2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185 244,5</w:t>
            </w:r>
          </w:p>
        </w:tc>
      </w:tr>
      <w:tr w:rsidR="0094451B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«Управление резервными средствами бюджета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53 246,7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42 078,8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86 825,7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183 651,2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53 246,7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</w:t>
            </w:r>
            <w:r>
              <w:rPr>
                <w:sz w:val="18"/>
                <w:szCs w:val="18"/>
              </w:rPr>
              <w:t>078,8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86 825,7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183 651,2</w:t>
            </w:r>
          </w:p>
        </w:tc>
      </w:tr>
      <w:tr w:rsidR="0094451B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«Обслуживание муниципального долга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1 593,3</w:t>
            </w:r>
          </w:p>
        </w:tc>
      </w:tr>
      <w:tr w:rsidR="0094451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1 593,3</w:t>
            </w:r>
          </w:p>
        </w:tc>
      </w:tr>
      <w:tr w:rsidR="0094451B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</w:t>
            </w:r>
            <w:r>
              <w:rPr>
                <w:sz w:val="18"/>
                <w:szCs w:val="18"/>
              </w:rPr>
              <w:t>«Планирование ассигнований на погашение долговых обязательств Белоярского района» &lt;*&gt;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533 236,5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775 947,4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721 788,9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721 788,9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721 788,9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721 788,9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4 196 339,5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533 236,5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775 947,4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721 788,9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721 788,9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721 788,9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721 788,9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4 196 </w:t>
            </w:r>
            <w:r>
              <w:rPr>
                <w:sz w:val="18"/>
                <w:szCs w:val="18"/>
              </w:rPr>
              <w:t>339,5</w:t>
            </w:r>
          </w:p>
        </w:tc>
      </w:tr>
      <w:tr w:rsidR="0094451B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Комплекс процессных мероприятий «Повышение прозрачности и информационной доступности бюджета и бюджетного процесса»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4451B">
        <w:trPr>
          <w:trHeight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«Повышение </w:t>
            </w:r>
            <w:r>
              <w:rPr>
                <w:b/>
                <w:bCs/>
                <w:sz w:val="18"/>
                <w:szCs w:val="18"/>
              </w:rPr>
              <w:t>финансовой грамотности на территории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240,0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</w:tr>
      <w:tr w:rsidR="0094451B">
        <w:trPr>
          <w:trHeight w:val="6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«Финансовая поддержка некоммерческих организаций на реализацию мероприятий, направленных </w:t>
            </w:r>
            <w:r>
              <w:rPr>
                <w:sz w:val="18"/>
                <w:szCs w:val="18"/>
              </w:rPr>
              <w:t>на повышение финансовой грамотности на территории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</w:tr>
      <w:tr w:rsidR="0094451B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«Обеспечение деятельности казенного учреждения, </w:t>
            </w:r>
            <w:r>
              <w:rPr>
                <w:b/>
                <w:bCs/>
                <w:sz w:val="18"/>
                <w:szCs w:val="18"/>
              </w:rPr>
              <w:t>осуществляющего полномочия по ведению централизованного бухгалтерского учета и отчетности»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29 052,3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27 359,4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27 367,9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27 367,9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27 367,9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27 367,9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165 883,3</w:t>
            </w:r>
          </w:p>
        </w:tc>
      </w:tr>
      <w:tr w:rsidR="0094451B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27 359,4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27 367,9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27 367,9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27 367,9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27 367,9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165 883,3</w:t>
            </w:r>
          </w:p>
        </w:tc>
      </w:tr>
      <w:tr w:rsidR="0094451B">
        <w:trPr>
          <w:trHeight w:val="4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Комплекс процессных мероприятий «Обеспечение деятельности органов местного самоуправления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69 410,0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66 254,7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400 068,7</w:t>
            </w:r>
          </w:p>
        </w:tc>
      </w:tr>
      <w:tr w:rsidR="0094451B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66 254,7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400 068,7</w:t>
            </w:r>
          </w:p>
        </w:tc>
      </w:tr>
      <w:tr w:rsidR="0094451B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«Обеспечение выполнения функций управления муниципальными финансами»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66 254,7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400 068,7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66 254,7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400 068,7</w:t>
            </w:r>
          </w:p>
        </w:tc>
      </w:tr>
      <w:tr w:rsidR="0094451B">
        <w:trPr>
          <w:trHeight w:val="6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Комплекс процессных мероприятий  «Финансовое обеспечение осуществления органами местного самоуправления поселений в границах Белоярского района переданных полномочий 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27 179,4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5 205,3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5 392,7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58 081,4</w:t>
            </w:r>
          </w:p>
        </w:tc>
      </w:tr>
      <w:tr w:rsidR="0094451B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172,1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31 328,7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ХМАО-Югры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21 251,5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5 501,2</w:t>
            </w:r>
          </w:p>
        </w:tc>
      </w:tr>
      <w:tr w:rsidR="0094451B">
        <w:trPr>
          <w:trHeight w:val="10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межбюджетных трансфертов  на </w:t>
            </w:r>
            <w:r>
              <w:rPr>
                <w:sz w:val="18"/>
                <w:szCs w:val="18"/>
              </w:rPr>
              <w:t>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соглашений»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</w:rPr>
              <w:t>501,2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5 501,2</w:t>
            </w:r>
          </w:p>
        </w:tc>
      </w:tr>
      <w:tr w:rsidR="0094451B">
        <w:trPr>
          <w:trHeight w:val="8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межбюджетных трансфертов в иных случаях, предусмотренных законами Ханты-Мансийского автономного округа – Югры и муниципальными правовыми </w:t>
            </w:r>
            <w:r>
              <w:rPr>
                <w:sz w:val="18"/>
                <w:szCs w:val="18"/>
              </w:rPr>
              <w:t>актами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21 050,0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ХМАО-Югры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21 050,0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4451B">
        <w:trPr>
          <w:trHeight w:val="2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межбюджетных трансфертов в форме субвенций </w:t>
            </w:r>
            <w:r>
              <w:rPr>
                <w:sz w:val="18"/>
                <w:szCs w:val="18"/>
              </w:rPr>
              <w:t xml:space="preserve">на осуществление отдельных государственных </w:t>
            </w:r>
            <w:r>
              <w:rPr>
                <w:sz w:val="18"/>
                <w:szCs w:val="18"/>
              </w:rPr>
              <w:lastRenderedPageBreak/>
              <w:t>полномочий»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4 754,1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5 205,3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31 530,2</w:t>
            </w:r>
          </w:p>
        </w:tc>
      </w:tr>
      <w:tr w:rsidR="0094451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31 328,7</w:t>
            </w:r>
          </w:p>
        </w:tc>
      </w:tr>
      <w:tr w:rsidR="0094451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ХМАО-Югры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201,5</w:t>
            </w:r>
          </w:p>
        </w:tc>
      </w:tr>
      <w:tr w:rsidR="0094451B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>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4451B">
        <w:trPr>
          <w:trHeight w:val="5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Комплекс процессных мероприятий «Выравнивание бюджетной обеспеченности  и обеспечение сбалансированности бюджетов поселений в границах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194 435,3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165 144,4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169 272,4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168 278,6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168 278,6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168 278,6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1 033 687,9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ХМАО-Югры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110 255,0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106 966,5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106 530,5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106 530,5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106 530,5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106 530,5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643 343,5</w:t>
            </w:r>
          </w:p>
        </w:tc>
      </w:tr>
      <w:tr w:rsidR="0094451B">
        <w:trPr>
          <w:trHeight w:val="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84 180,3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58 177,9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62 741,9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61 748,1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61 748,1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61 748,1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390 344,4</w:t>
            </w:r>
          </w:p>
        </w:tc>
      </w:tr>
      <w:tr w:rsidR="0094451B">
        <w:trPr>
          <w:trHeight w:val="4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«Выравнивание бюджетной </w:t>
            </w:r>
            <w:r>
              <w:rPr>
                <w:sz w:val="18"/>
                <w:szCs w:val="18"/>
              </w:rPr>
              <w:t>обеспеченности поселений в границах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133 474,5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130 362,5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130 166,7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130 166,7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130 166,7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130 166,7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784 503,8</w:t>
            </w:r>
          </w:p>
        </w:tc>
      </w:tr>
      <w:tr w:rsidR="0094451B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ХМАО-Югры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110 255,0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106 966,5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106 530,5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106 530,5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106 530,5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106 530,5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643 343,5</w:t>
            </w:r>
          </w:p>
        </w:tc>
      </w:tr>
      <w:tr w:rsidR="0094451B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23 219,5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  <w:r>
              <w:rPr>
                <w:sz w:val="18"/>
                <w:szCs w:val="18"/>
              </w:rPr>
              <w:t>396,0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23 636,2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23 636,2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23 636,2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23 636,2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141 160,3</w:t>
            </w:r>
          </w:p>
        </w:tc>
      </w:tr>
      <w:tr w:rsidR="0094451B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«Обеспечение сбалансированности бюджетов поселений в границах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60 960,8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34 781,9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39 105,7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38 111,9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38 111,9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38 111,9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249 184,1</w:t>
            </w:r>
          </w:p>
        </w:tc>
      </w:tr>
      <w:tr w:rsidR="0094451B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ХМАО-Югры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60 960,8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34 781,9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39 105,7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38 111,9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38 111,9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38 111,9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249 184,1</w:t>
            </w:r>
          </w:p>
        </w:tc>
      </w:tr>
      <w:tr w:rsidR="0094451B">
        <w:trPr>
          <w:trHeight w:val="7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 «Содействие повышению эффективности деятельности органов местного самоуправления и качества управления муниципальными </w:t>
            </w:r>
            <w:r>
              <w:rPr>
                <w:b/>
                <w:bCs/>
                <w:sz w:val="18"/>
                <w:szCs w:val="18"/>
              </w:rPr>
              <w:t>финансами в поселениях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2 650,0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2 650,0</w:t>
            </w:r>
          </w:p>
        </w:tc>
      </w:tr>
      <w:tr w:rsidR="0094451B">
        <w:trPr>
          <w:trHeight w:val="5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иных межбюджетных трансфертов на поощрение достижения наилучших показателей </w:t>
            </w:r>
            <w:r>
              <w:rPr>
                <w:sz w:val="18"/>
                <w:szCs w:val="18"/>
              </w:rPr>
              <w:t>деятельности органов местного самоуправления поселений Белоярского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2 450,0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2 450,0</w:t>
            </w:r>
          </w:p>
        </w:tc>
      </w:tr>
      <w:tr w:rsidR="0094451B">
        <w:trPr>
          <w:trHeight w:val="4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иных межбюджетных трансфертов на поощрение за </w:t>
            </w:r>
            <w:r>
              <w:rPr>
                <w:sz w:val="18"/>
                <w:szCs w:val="18"/>
              </w:rPr>
              <w:t>достижение высоких показателей качества организации и осуществления бюджетного процесса по результатом оценок»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94451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1B" w:rsidRDefault="0094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51B" w:rsidRDefault="0028671D"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51B" w:rsidRDefault="0028671D"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94451B">
        <w:trPr>
          <w:trHeight w:val="580"/>
        </w:trPr>
        <w:tc>
          <w:tcPr>
            <w:tcW w:w="144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451B" w:rsidRDefault="0028671D">
            <w:pPr>
              <w:textAlignment w:val="top"/>
              <w:rPr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&lt;*&gt; бюджетные ассигнования отражены в источниках </w:t>
            </w:r>
            <w:r>
              <w:rPr>
                <w:sz w:val="18"/>
                <w:szCs w:val="18"/>
                <w:lang w:eastAsia="zh-CN" w:bidi="ar"/>
              </w:rPr>
              <w:t>финансирования дефицита бюджета Белоярского района, в связи с чем, в итоговых суммах финансирования по муниципальной программе не учитываются.</w:t>
            </w:r>
          </w:p>
          <w:p w:rsidR="0094451B" w:rsidRDefault="0028671D">
            <w:pPr>
              <w:jc w:val="righ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»;</w:t>
            </w:r>
          </w:p>
        </w:tc>
      </w:tr>
    </w:tbl>
    <w:p w:rsidR="0094451B" w:rsidRDefault="0094451B" w:rsidP="004A019C">
      <w:pPr>
        <w:spacing w:after="0" w:line="240" w:lineRule="auto"/>
        <w:ind w:right="-29"/>
        <w:rPr>
          <w:rFonts w:eastAsia="Times New Roman"/>
          <w:sz w:val="24"/>
          <w:szCs w:val="24"/>
          <w:lang w:eastAsia="ru-RU"/>
        </w:rPr>
      </w:pP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4451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4451B" w:rsidRDefault="0028671D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3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451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4451B" w:rsidRDefault="0028671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94451B" w:rsidRDefault="0028671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:rsidR="0094451B" w:rsidRDefault="004A019C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5 июня</w:t>
            </w:r>
            <w:r w:rsidR="0028671D">
              <w:rPr>
                <w:rFonts w:eastAsia="Times New Roman"/>
                <w:sz w:val="24"/>
                <w:szCs w:val="24"/>
                <w:lang w:eastAsia="ru-RU"/>
              </w:rPr>
              <w:t xml:space="preserve"> 2025 года 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366</w:t>
            </w:r>
          </w:p>
        </w:tc>
      </w:tr>
    </w:tbl>
    <w:p w:rsidR="0094451B" w:rsidRDefault="0094451B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:rsidR="0094451B" w:rsidRDefault="0094451B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:rsidR="0094451B" w:rsidRDefault="0028671D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</w:t>
      </w:r>
      <w:r>
        <w:rPr>
          <w:rFonts w:eastAsia="Times New Roman"/>
          <w:sz w:val="24"/>
          <w:szCs w:val="24"/>
          <w:lang w:eastAsia="ru-RU"/>
        </w:rPr>
        <w:t xml:space="preserve"> Н Е Н И Я,</w:t>
      </w:r>
    </w:p>
    <w:p w:rsidR="0094451B" w:rsidRDefault="0028671D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4.1 Паспорта муниципальной программы Белоярского района</w:t>
      </w:r>
    </w:p>
    <w:p w:rsidR="0094451B" w:rsidRDefault="0028671D">
      <w:pPr>
        <w:spacing w:after="0" w:line="240" w:lineRule="auto"/>
        <w:ind w:right="-29"/>
        <w:jc w:val="center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«Управление муниципальными финансами в Белоярском районе»</w:t>
      </w:r>
    </w:p>
    <w:p w:rsidR="0094451B" w:rsidRDefault="0094451B">
      <w:pPr>
        <w:spacing w:after="0" w:line="240" w:lineRule="auto"/>
        <w:ind w:right="-29"/>
        <w:jc w:val="right"/>
        <w:rPr>
          <w:rFonts w:eastAsia="Times New Roman"/>
          <w:sz w:val="24"/>
          <w:szCs w:val="24"/>
          <w:lang w:eastAsia="ru-RU"/>
        </w:rPr>
      </w:pPr>
    </w:p>
    <w:p w:rsidR="0094451B" w:rsidRDefault="0028671D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«4.1 Перечень мероприятий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065"/>
        <w:gridCol w:w="6770"/>
      </w:tblGrid>
      <w:tr w:rsidR="0094451B">
        <w:trPr>
          <w:trHeight w:val="1770"/>
          <w:tblHeader/>
        </w:trPr>
        <w:tc>
          <w:tcPr>
            <w:tcW w:w="1951" w:type="dxa"/>
            <w:shd w:val="clear" w:color="auto" w:fill="auto"/>
            <w:vAlign w:val="center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 мероприятия в соответствии с  разделом 4 паспорта муниципал</w:t>
            </w:r>
            <w:r>
              <w:t>ьной программы</w:t>
            </w:r>
          </w:p>
        </w:tc>
        <w:tc>
          <w:tcPr>
            <w:tcW w:w="6065" w:type="dxa"/>
            <w:shd w:val="clear" w:color="auto" w:fill="auto"/>
            <w:vAlign w:val="center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Содержание мероприятия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2.1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zh-CN" w:bidi="ar"/>
              </w:rPr>
              <w:t>«Управление резервными средствами бюджета Белоярского района»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lang w:eastAsia="ru-RU"/>
              </w:rPr>
              <w:t>Контроль за р</w:t>
            </w:r>
            <w:r>
              <w:rPr>
                <w:rFonts w:eastAsia="Times New Roman"/>
                <w:lang w:eastAsia="ru-RU"/>
              </w:rPr>
              <w:t>азмер</w:t>
            </w:r>
            <w:r>
              <w:rPr>
                <w:lang w:eastAsia="ru-RU"/>
              </w:rPr>
              <w:t>ом</w:t>
            </w:r>
            <w:r>
              <w:rPr>
                <w:rFonts w:eastAsia="Times New Roman"/>
                <w:lang w:eastAsia="ru-RU"/>
              </w:rPr>
              <w:t xml:space="preserve"> резервного фонда администрации Белоярского района от первоначально утверждённого общего объёма расходов бюджета Белоярского района</w:t>
            </w:r>
            <w:r>
              <w:rPr>
                <w:lang w:eastAsia="ru-RU"/>
              </w:rPr>
              <w:t>, организация расходования средств, иным образом зарезервированных в составе расходов бюджета Белоярского района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2.2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  <w:r>
              <w:rPr>
                <w:lang w:eastAsia="zh-CN" w:bidi="ar"/>
              </w:rPr>
              <w:t>«Обслуживание муниципального долга Белоярского района»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zh-CN"/>
              </w:rPr>
            </w:pPr>
            <w:r>
              <w:rPr>
                <w:color w:val="000000"/>
                <w:lang w:eastAsia="zh-CN" w:bidi="ar"/>
              </w:rPr>
              <w:t>Расчет размера годового объема расходов на обслуживание муниципального долга от утвержденного общего объема расходов бюджета Белоярского района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2.3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zh-CN" w:bidi="ar"/>
              </w:rPr>
              <w:t xml:space="preserve">«Планирование ассигнований на погашение долговых </w:t>
            </w:r>
            <w:r>
              <w:rPr>
                <w:lang w:eastAsia="zh-CN" w:bidi="ar"/>
              </w:rPr>
              <w:t>обязательств Белоярского района»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color w:val="000000"/>
                <w:lang w:eastAsia="zh-CN" w:bidi="ar"/>
              </w:rPr>
              <w:t>Соблюдение в течение финансового года ограничений по верхнему пределу муниципального внутреннего и внешнего долга, предельных значений показателей долговой устойчивости Белоярского района, установленных бюджетным законодате</w:t>
            </w:r>
            <w:r>
              <w:rPr>
                <w:color w:val="000000"/>
                <w:lang w:eastAsia="zh-CN" w:bidi="ar"/>
              </w:rPr>
              <w:t xml:space="preserve">льством 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3.1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zh-CN" w:bidi="ar"/>
              </w:rPr>
              <w:t>«</w:t>
            </w:r>
            <w:r>
              <w:rPr>
                <w:lang w:eastAsia="zh-CN"/>
              </w:rPr>
              <w:t xml:space="preserve">Публикация в открытых источниках информации сведений о формировании и исполнении бюджета, о планируемых и достигнутых результатах использования бюджетных </w:t>
            </w:r>
            <w:r>
              <w:rPr>
                <w:lang w:eastAsia="zh-CN"/>
              </w:rPr>
              <w:lastRenderedPageBreak/>
              <w:t>средств»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lang w:eastAsia="zh-CN"/>
              </w:rPr>
              <w:lastRenderedPageBreak/>
              <w:t xml:space="preserve">Публикация в открытых источниках информации сведений о формировании и </w:t>
            </w:r>
            <w:r>
              <w:rPr>
                <w:lang w:eastAsia="zh-CN"/>
              </w:rPr>
              <w:t>исполнении бюджета, о планируемых и достигнутых результатах использования бюджетных средств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4.1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spacing w:after="0" w:line="240" w:lineRule="auto"/>
            </w:pPr>
            <w:r>
              <w:rPr>
                <w:lang w:eastAsia="zh-CN" w:bidi="ar"/>
              </w:rPr>
              <w:t>«Финансовая поддержка некоммерческих организаций в форме субсидий на реализацию мероприятий, направленных на повышение финансовой грамотности на территории Бел</w:t>
            </w:r>
            <w:r>
              <w:rPr>
                <w:lang w:eastAsia="zh-CN" w:bidi="ar"/>
              </w:rPr>
              <w:t>оярского района»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spacing w:after="0" w:line="240" w:lineRule="auto"/>
              <w:jc w:val="both"/>
            </w:pPr>
            <w:r>
              <w:rPr>
                <w:lang w:eastAsia="zh-CN" w:bidi="ar"/>
              </w:rPr>
              <w:t>Финансовая поддержка некоммерческих организаций в форме субсидий  в соответствии с утвержденным порядком, на реализацию мероприятий, направленных на повышение финансовой грамотности на территории Белоярского района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6.1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 xml:space="preserve">«Обеспечение </w:t>
            </w:r>
            <w:r>
              <w:rPr>
                <w:lang w:eastAsia="zh-CN" w:bidi="ar"/>
              </w:rPr>
              <w:t>выполнения функций управления муниципальными финансами»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color w:val="000000"/>
                <w:lang w:eastAsia="zh-CN" w:bidi="ar"/>
              </w:rPr>
              <w:t>Обеспечение деятельности Комитета по финансам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7.1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>«Предоставление межбюджетных трансфертов  на финансовое обеспечение осуществления органами местного самоуправления поселений в границах Белоярского р</w:t>
            </w:r>
            <w:r>
              <w:rPr>
                <w:lang w:eastAsia="zh-CN" w:bidi="ar"/>
              </w:rPr>
              <w:t>айона полномочий, переданных органами местного самоуправления Белоярского района на основании соглашений»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Расчет, организация распределения иных межбюджетных трансфертов </w:t>
            </w:r>
            <w:r>
              <w:rPr>
                <w:lang w:eastAsia="zh-CN" w:bidi="ar"/>
              </w:rPr>
              <w:t>на финансовое обеспечение осуществления органами местного самоуправления поселений в г</w:t>
            </w:r>
            <w:r>
              <w:rPr>
                <w:lang w:eastAsia="zh-CN" w:bidi="ar"/>
              </w:rPr>
              <w:t>раницах Белоярского района полномочий, переданных органами местного самоуправления Белоярского района на основании соглашений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7.2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 xml:space="preserve"> «Предоставление межбюджетных трансфертов в иных случаях, предусмотренных законами Ханты-Мансийского автономного округа – Югр</w:t>
            </w:r>
            <w:r>
              <w:rPr>
                <w:lang w:eastAsia="zh-CN" w:bidi="ar"/>
              </w:rPr>
              <w:t>ы и муниципальными правовыми актами Белоярского района»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Организация распределения иных межбюджетных трансфертов в иных случаях, </w:t>
            </w:r>
            <w:r>
              <w:rPr>
                <w:lang w:eastAsia="zh-CN" w:bidi="ar"/>
              </w:rPr>
              <w:t>предусмотренных законами Ханты-Мансийского автономного округа – Югры и муниципальными правовыми актами Белоярского района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7.3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 xml:space="preserve"> «Предоставление межбюджетных трансфертов в форме субвенций на осуществление отдельных государственных полномочий»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Организация распределения субвенций </w:t>
            </w:r>
            <w:r>
              <w:rPr>
                <w:lang w:eastAsia="zh-CN" w:bidi="ar"/>
              </w:rPr>
              <w:t>на осуществление отдельных государственных полномочий бюджетам поселений Белоярского района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8.1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>«</w:t>
            </w:r>
            <w:r>
              <w:rPr>
                <w:rFonts w:eastAsia="Times New Roman"/>
                <w:lang w:eastAsia="ru-RU"/>
              </w:rPr>
              <w:t>Выравни</w:t>
            </w:r>
            <w:r>
              <w:rPr>
                <w:rFonts w:eastAsia="Times New Roman"/>
                <w:lang w:eastAsia="ru-RU"/>
              </w:rPr>
              <w:t>вание бюджетной обеспеченности поселений в границах Белоярского района</w:t>
            </w:r>
            <w:r>
              <w:rPr>
                <w:lang w:eastAsia="zh-CN" w:bidi="ar"/>
              </w:rPr>
              <w:t>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spacing w:after="0" w:line="240" w:lineRule="auto"/>
              <w:jc w:val="both"/>
            </w:pPr>
            <w:r>
              <w:t>Расчет, организация распределения дотаций на выравнивание бюджетной обеспеченности поселений из бюджета Белоярского района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8.2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>«</w:t>
            </w:r>
            <w:r>
              <w:rPr>
                <w:rFonts w:eastAsia="Times New Roman"/>
                <w:lang w:eastAsia="ru-RU"/>
              </w:rPr>
              <w:t xml:space="preserve">Обеспечение сбалансированности бюджетов поселений в </w:t>
            </w:r>
            <w:r>
              <w:rPr>
                <w:rFonts w:eastAsia="Times New Roman"/>
                <w:lang w:eastAsia="ru-RU"/>
              </w:rPr>
              <w:t>границах Белоярского района</w:t>
            </w:r>
            <w:r>
              <w:rPr>
                <w:lang w:eastAsia="zh-CN" w:bidi="ar"/>
              </w:rPr>
              <w:t>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spacing w:after="0" w:line="240" w:lineRule="auto"/>
              <w:jc w:val="both"/>
            </w:pPr>
            <w:r>
              <w:t>Расчет, организация распределения иных межбюджетных трансфертов на обеспечение сбалансированности бюджетов поселений из бюджета Белоярского района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9.1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 xml:space="preserve"> «</w:t>
            </w:r>
            <w:r>
              <w:rPr>
                <w:lang w:eastAsia="zh-CN"/>
              </w:rPr>
              <w:t>Предоставление иных межбюджетных трансфертов на поощрение достижения наил</w:t>
            </w:r>
            <w:r>
              <w:rPr>
                <w:lang w:eastAsia="zh-CN"/>
              </w:rPr>
              <w:t xml:space="preserve">учших показателей деятельности органов местного самоуправления поселений Белоярского </w:t>
            </w:r>
            <w:r>
              <w:rPr>
                <w:lang w:eastAsia="zh-CN"/>
              </w:rPr>
              <w:lastRenderedPageBreak/>
              <w:t>района»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Организация распределения иных межбюджетных трансфертов на поощрение достижения наилучших показателей деятельности органов местного самоуправления поселений Белояр</w:t>
            </w:r>
            <w:r>
              <w:t xml:space="preserve">ского района, </w:t>
            </w:r>
            <w:r>
              <w:lastRenderedPageBreak/>
              <w:t>выявленных по результатам конкурса</w:t>
            </w:r>
          </w:p>
        </w:tc>
      </w:tr>
      <w:tr w:rsidR="0094451B">
        <w:tc>
          <w:tcPr>
            <w:tcW w:w="1951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9.2</w:t>
            </w:r>
          </w:p>
        </w:tc>
        <w:tc>
          <w:tcPr>
            <w:tcW w:w="6065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>«</w:t>
            </w:r>
            <w:r>
              <w:rPr>
                <w:lang w:eastAsia="zh-CN"/>
              </w:rPr>
              <w:t>Предоставление иных межбюджетных трансфертов на поощрение за достижение высоких показателей качества организации и осуществления бюджетного процесса по результатом оценок»</w:t>
            </w:r>
          </w:p>
        </w:tc>
        <w:tc>
          <w:tcPr>
            <w:tcW w:w="6770" w:type="dxa"/>
            <w:shd w:val="clear" w:color="auto" w:fill="auto"/>
          </w:tcPr>
          <w:p w:rsidR="0094451B" w:rsidRDefault="002867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Организация распределения иных межбюджетных трансфертов на поощрение </w:t>
            </w:r>
            <w:r>
              <w:rPr>
                <w:lang w:eastAsia="zh-CN"/>
              </w:rPr>
              <w:t>за достижение высоких показателей качества организации и осуществления бюджетного процесса по результатом оценок</w:t>
            </w:r>
          </w:p>
        </w:tc>
      </w:tr>
    </w:tbl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4451B" w:rsidRDefault="0028671D">
      <w:pPr>
        <w:pStyle w:val="ConsPlusNormal"/>
        <w:ind w:left="144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4451B" w:rsidRDefault="0094451B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4451B" w:rsidRDefault="0094451B">
      <w:pPr>
        <w:spacing w:after="0" w:line="240" w:lineRule="auto"/>
        <w:jc w:val="right"/>
        <w:rPr>
          <w:sz w:val="24"/>
          <w:szCs w:val="24"/>
          <w:highlight w:val="yellow"/>
        </w:rPr>
      </w:pPr>
    </w:p>
    <w:p w:rsidR="0094451B" w:rsidRDefault="0094451B">
      <w:pPr>
        <w:spacing w:after="0" w:line="240" w:lineRule="auto"/>
        <w:jc w:val="right"/>
        <w:rPr>
          <w:sz w:val="24"/>
          <w:szCs w:val="24"/>
          <w:highlight w:val="yellow"/>
        </w:rPr>
      </w:pPr>
    </w:p>
    <w:p w:rsidR="0094451B" w:rsidRDefault="0094451B">
      <w:pPr>
        <w:spacing w:after="0" w:line="240" w:lineRule="auto"/>
        <w:jc w:val="right"/>
        <w:rPr>
          <w:sz w:val="24"/>
          <w:szCs w:val="24"/>
          <w:highlight w:val="yellow"/>
        </w:rPr>
      </w:pPr>
    </w:p>
    <w:p w:rsidR="0094451B" w:rsidRDefault="0094451B">
      <w:pPr>
        <w:spacing w:after="0" w:line="240" w:lineRule="auto"/>
        <w:jc w:val="right"/>
        <w:rPr>
          <w:sz w:val="24"/>
          <w:szCs w:val="24"/>
          <w:highlight w:val="yellow"/>
        </w:rPr>
      </w:pPr>
    </w:p>
    <w:p w:rsidR="0094451B" w:rsidRDefault="0094451B">
      <w:pPr>
        <w:spacing w:after="0" w:line="240" w:lineRule="auto"/>
        <w:jc w:val="right"/>
        <w:rPr>
          <w:sz w:val="24"/>
          <w:szCs w:val="24"/>
          <w:highlight w:val="yellow"/>
        </w:rPr>
      </w:pPr>
    </w:p>
    <w:p w:rsidR="0094451B" w:rsidRDefault="0094451B">
      <w:pPr>
        <w:spacing w:after="0" w:line="240" w:lineRule="auto"/>
        <w:jc w:val="right"/>
        <w:rPr>
          <w:sz w:val="24"/>
          <w:szCs w:val="24"/>
          <w:highlight w:val="yellow"/>
        </w:rPr>
      </w:pPr>
    </w:p>
    <w:p w:rsidR="0094451B" w:rsidRDefault="0094451B">
      <w:pPr>
        <w:spacing w:after="0" w:line="240" w:lineRule="auto"/>
        <w:jc w:val="right"/>
        <w:rPr>
          <w:sz w:val="24"/>
          <w:szCs w:val="24"/>
          <w:highlight w:val="yellow"/>
        </w:rPr>
      </w:pPr>
    </w:p>
    <w:p w:rsidR="0094451B" w:rsidRDefault="0094451B">
      <w:pPr>
        <w:spacing w:after="0" w:line="240" w:lineRule="auto"/>
        <w:jc w:val="right"/>
        <w:rPr>
          <w:sz w:val="24"/>
          <w:szCs w:val="24"/>
          <w:highlight w:val="yellow"/>
        </w:rPr>
      </w:pPr>
    </w:p>
    <w:p w:rsidR="0094451B" w:rsidRDefault="0094451B">
      <w:pPr>
        <w:spacing w:after="0" w:line="240" w:lineRule="auto"/>
        <w:jc w:val="right"/>
        <w:rPr>
          <w:sz w:val="24"/>
          <w:szCs w:val="24"/>
          <w:highlight w:val="yellow"/>
        </w:rPr>
      </w:pP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4451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4451B" w:rsidRDefault="0028671D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4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451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4451B" w:rsidRDefault="0028671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94451B" w:rsidRDefault="0028671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:rsidR="0094451B" w:rsidRDefault="004A019C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5 июня </w:t>
            </w:r>
            <w:r w:rsidR="0028671D">
              <w:rPr>
                <w:rFonts w:eastAsia="Times New Roman"/>
                <w:sz w:val="24"/>
                <w:szCs w:val="24"/>
                <w:lang w:eastAsia="ru-RU"/>
              </w:rPr>
              <w:t>2025 года 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366</w:t>
            </w:r>
          </w:p>
        </w:tc>
      </w:tr>
    </w:tbl>
    <w:p w:rsidR="0094451B" w:rsidRDefault="0094451B">
      <w:pPr>
        <w:spacing w:after="0" w:line="240" w:lineRule="auto"/>
        <w:jc w:val="right"/>
        <w:rPr>
          <w:sz w:val="24"/>
          <w:szCs w:val="24"/>
          <w:highlight w:val="yellow"/>
        </w:rPr>
      </w:pPr>
    </w:p>
    <w:p w:rsidR="0094451B" w:rsidRDefault="0094451B">
      <w:pPr>
        <w:spacing w:after="0" w:line="240" w:lineRule="auto"/>
        <w:rPr>
          <w:sz w:val="24"/>
          <w:szCs w:val="24"/>
        </w:rPr>
      </w:pPr>
    </w:p>
    <w:p w:rsidR="0094451B" w:rsidRDefault="0028671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муниципальной программе</w:t>
      </w:r>
    </w:p>
    <w:p w:rsidR="0094451B" w:rsidRDefault="0094451B">
      <w:pPr>
        <w:spacing w:after="0" w:line="240" w:lineRule="auto"/>
        <w:jc w:val="right"/>
      </w:pPr>
    </w:p>
    <w:p w:rsidR="0094451B" w:rsidRDefault="0028671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Перечень мероприятий (результатов), при реализации которых возникают расходные обязательства поселений в границах Белоярского района, в целях софинасирования которых предоставляется субсидия на реализацию инициативных проектов для достижения результатов ре</w:t>
      </w:r>
      <w:r>
        <w:rPr>
          <w:rFonts w:eastAsia="Times New Roman"/>
          <w:sz w:val="24"/>
          <w:szCs w:val="24"/>
          <w:lang w:eastAsia="ru-RU"/>
        </w:rPr>
        <w:t xml:space="preserve">ализации регионального проекта «Развитие экосистемы поддержки гражданских инициатив» государственной программы автономного округа «Развитие гражданского общества», утвержденной постановлением Правительства ХМАО-Югры </w:t>
      </w:r>
    </w:p>
    <w:p w:rsidR="0094451B" w:rsidRDefault="0028671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10 ноября 2023 года № 546-п</w:t>
      </w:r>
    </w:p>
    <w:p w:rsidR="0094451B" w:rsidRDefault="0094451B">
      <w:pPr>
        <w:spacing w:after="0" w:line="240" w:lineRule="auto"/>
        <w:jc w:val="center"/>
      </w:pPr>
    </w:p>
    <w:tbl>
      <w:tblPr>
        <w:tblW w:w="49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3"/>
        <w:gridCol w:w="2863"/>
        <w:gridCol w:w="1815"/>
        <w:gridCol w:w="1265"/>
        <w:gridCol w:w="2910"/>
        <w:gridCol w:w="1630"/>
        <w:gridCol w:w="1483"/>
      </w:tblGrid>
      <w:tr w:rsidR="0094451B">
        <w:trPr>
          <w:tblHeader/>
          <w:jc w:val="center"/>
        </w:trPr>
        <w:tc>
          <w:tcPr>
            <w:tcW w:w="18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66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мероприятия (результата)</w:t>
            </w:r>
          </w:p>
        </w:tc>
        <w:tc>
          <w:tcPr>
            <w:tcW w:w="969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результата </w:t>
            </w:r>
          </w:p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 субсидии ХМАО-Югры</w:t>
            </w:r>
          </w:p>
        </w:tc>
        <w:tc>
          <w:tcPr>
            <w:tcW w:w="614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поселения</w:t>
            </w:r>
          </w:p>
        </w:tc>
        <w:tc>
          <w:tcPr>
            <w:tcW w:w="426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финансирования, рублей</w:t>
            </w:r>
          </w:p>
        </w:tc>
        <w:tc>
          <w:tcPr>
            <w:tcW w:w="502" w:type="pct"/>
            <w:tcBorders>
              <w:left w:val="single" w:sz="4" w:space="0" w:color="auto"/>
            </w:tcBorders>
          </w:tcPr>
          <w:p w:rsidR="0094451B" w:rsidRDefault="0028671D">
            <w:pPr>
              <w:spacing w:after="0" w:line="240" w:lineRule="auto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94451B" w:rsidRDefault="0028671D">
            <w:pPr>
              <w:spacing w:after="0" w:line="240" w:lineRule="auto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паспорта муниципальной программы мероприятия раздела 4</w:t>
            </w:r>
          </w:p>
        </w:tc>
      </w:tr>
      <w:tr w:rsidR="0094451B">
        <w:trPr>
          <w:trHeight w:val="271"/>
          <w:tblHeader/>
          <w:jc w:val="center"/>
        </w:trPr>
        <w:tc>
          <w:tcPr>
            <w:tcW w:w="182" w:type="pct"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pct"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9" w:type="pct"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4" w:type="pct"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5" w:type="pct"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2" w:type="pct"/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4451B">
        <w:trPr>
          <w:trHeight w:val="162"/>
          <w:jc w:val="center"/>
        </w:trPr>
        <w:tc>
          <w:tcPr>
            <w:tcW w:w="182" w:type="pct"/>
            <w:vMerge w:val="restar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pct"/>
            <w:vMerge w:val="restar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969" w:type="pct"/>
            <w:vMerge w:val="restar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Инициативный проект «Торум Хары»/ «Под открытым небом». Благоустройство этнокультурного парка «Ай Курт» в сельском поселении Сосновка, 3 </w:t>
            </w:r>
            <w:r>
              <w:rPr>
                <w:sz w:val="20"/>
                <w:szCs w:val="20"/>
              </w:rPr>
              <w:t>этап»</w:t>
            </w:r>
          </w:p>
        </w:tc>
        <w:tc>
          <w:tcPr>
            <w:tcW w:w="614" w:type="pct"/>
            <w:vMerge w:val="restart"/>
          </w:tcPr>
          <w:p w:rsidR="0094451B" w:rsidRDefault="002867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Сосновка</w:t>
            </w:r>
          </w:p>
        </w:tc>
        <w:tc>
          <w:tcPr>
            <w:tcW w:w="426" w:type="pct"/>
            <w:vMerge w:val="restar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13 995 180,00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 w:rsidR="0094451B">
        <w:trPr>
          <w:trHeight w:val="1272"/>
          <w:jc w:val="center"/>
        </w:trPr>
        <w:tc>
          <w:tcPr>
            <w:tcW w:w="182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средства бюджета автономного округа в целях </w:t>
            </w:r>
            <w:r>
              <w:rPr>
                <w:sz w:val="20"/>
                <w:szCs w:val="20"/>
                <w:lang w:eastAsia="ru-RU"/>
              </w:rPr>
              <w:t>софинансирования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9 796 626,00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182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сельского поселения </w:t>
            </w:r>
            <w:r>
              <w:rPr>
                <w:sz w:val="20"/>
                <w:szCs w:val="20"/>
              </w:rPr>
              <w:t>Сосновка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4 198 554,00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182" w:type="pct"/>
            <w:vMerge w:val="restar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pct"/>
            <w:vMerge w:val="restar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Инициативный проект реализован с привлечением средств бюджета Ханты-Мансийского </w:t>
            </w:r>
            <w:r>
              <w:rPr>
                <w:sz w:val="20"/>
                <w:szCs w:val="20"/>
              </w:rPr>
              <w:lastRenderedPageBreak/>
              <w:t>автономного округа – Югры</w:t>
            </w:r>
          </w:p>
        </w:tc>
        <w:tc>
          <w:tcPr>
            <w:tcW w:w="969" w:type="pct"/>
            <w:vMerge w:val="restar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Инициативный проект «Благоустройство общественной территории «Двор мечты - 2 этап»</w:t>
            </w:r>
          </w:p>
        </w:tc>
        <w:tc>
          <w:tcPr>
            <w:tcW w:w="614" w:type="pct"/>
            <w:vMerge w:val="restart"/>
          </w:tcPr>
          <w:p w:rsidR="0094451B" w:rsidRDefault="002867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Верхнеказымский</w:t>
            </w:r>
          </w:p>
        </w:tc>
        <w:tc>
          <w:tcPr>
            <w:tcW w:w="426" w:type="pct"/>
            <w:vMerge w:val="restar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8 186 311,72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94451B">
        <w:trPr>
          <w:jc w:val="center"/>
        </w:trPr>
        <w:tc>
          <w:tcPr>
            <w:tcW w:w="182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средства бюджета автономного округа в целях с</w:t>
            </w:r>
            <w:r>
              <w:rPr>
                <w:sz w:val="20"/>
                <w:szCs w:val="20"/>
                <w:lang w:eastAsia="ru-RU"/>
              </w:rPr>
              <w:t xml:space="preserve">офинансирования расходных обязательств на реализацию </w:t>
            </w:r>
            <w:r>
              <w:rPr>
                <w:sz w:val="20"/>
                <w:szCs w:val="20"/>
                <w:lang w:eastAsia="ru-RU"/>
              </w:rPr>
              <w:lastRenderedPageBreak/>
              <w:t>инициативных проектов *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5 730 418,20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182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сельского поселения Верхнеказымский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2 455 893,52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182" w:type="pct"/>
            <w:vMerge w:val="restar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6" w:type="pct"/>
            <w:vMerge w:val="restar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969" w:type="pct"/>
            <w:vMerge w:val="restar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«Ресурс-трек «Траектория гения»: создание креативного пространства возле ресурсного центра»</w:t>
            </w:r>
          </w:p>
        </w:tc>
        <w:tc>
          <w:tcPr>
            <w:tcW w:w="614" w:type="pct"/>
            <w:vMerge w:val="restart"/>
          </w:tcPr>
          <w:p w:rsidR="0094451B" w:rsidRDefault="002867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Казым</w:t>
            </w:r>
          </w:p>
        </w:tc>
        <w:tc>
          <w:tcPr>
            <w:tcW w:w="426" w:type="pct"/>
            <w:vMerge w:val="restar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2 533 305,21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0094451B">
        <w:trPr>
          <w:jc w:val="center"/>
        </w:trPr>
        <w:tc>
          <w:tcPr>
            <w:tcW w:w="182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автономного округа в целях с</w:t>
            </w:r>
            <w:r>
              <w:rPr>
                <w:sz w:val="20"/>
                <w:szCs w:val="20"/>
                <w:lang w:eastAsia="ru-RU"/>
              </w:rPr>
              <w:t>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1 773 313,64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182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сельского поселения Казым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759 991,57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182" w:type="pct"/>
            <w:vMerge w:val="restar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6" w:type="pct"/>
            <w:vMerge w:val="restar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Инициативный проект </w:t>
            </w:r>
            <w:r>
              <w:rPr>
                <w:sz w:val="20"/>
                <w:szCs w:val="20"/>
              </w:rPr>
              <w:t>реализован с привлечением средств бюджета Ханты-Мансийского автономного округа – Югры</w:t>
            </w:r>
          </w:p>
        </w:tc>
        <w:tc>
          <w:tcPr>
            <w:tcW w:w="969" w:type="pct"/>
            <w:vMerge w:val="restar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«Благоустройство центральной площадки в с.Казым. Площадь перед школой «Омащ хар», 2 этап»</w:t>
            </w:r>
          </w:p>
        </w:tc>
        <w:tc>
          <w:tcPr>
            <w:tcW w:w="614" w:type="pct"/>
            <w:vMerge w:val="restart"/>
          </w:tcPr>
          <w:p w:rsidR="0094451B" w:rsidRDefault="002867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Казым</w:t>
            </w:r>
          </w:p>
        </w:tc>
        <w:tc>
          <w:tcPr>
            <w:tcW w:w="426" w:type="pct"/>
            <w:vMerge w:val="restar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14 151 454,27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94451B">
        <w:trPr>
          <w:jc w:val="center"/>
        </w:trPr>
        <w:tc>
          <w:tcPr>
            <w:tcW w:w="182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автономного округа в целях с</w:t>
            </w:r>
            <w:r>
              <w:rPr>
                <w:sz w:val="20"/>
                <w:szCs w:val="20"/>
                <w:lang w:eastAsia="ru-RU"/>
              </w:rPr>
              <w:t>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9 906 017,98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182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сельского поселения Казым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4 245 436,29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182" w:type="pct"/>
            <w:vMerge w:val="restar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6" w:type="pct"/>
            <w:vMerge w:val="restar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Инициативный проект реализован с привлечением </w:t>
            </w:r>
            <w:r>
              <w:rPr>
                <w:sz w:val="20"/>
                <w:szCs w:val="20"/>
              </w:rPr>
              <w:t>средств бюджета Ханты-Мансийского автономного округа – Югры</w:t>
            </w:r>
          </w:p>
        </w:tc>
        <w:tc>
          <w:tcPr>
            <w:tcW w:w="969" w:type="pct"/>
            <w:vMerge w:val="restar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Инициативный проект «Обустройство многофункциональной парковой зоны сельского поселения Лыхма «ПАРК «СЕМЕЙНЫЙ» - 5 этап» </w:t>
            </w:r>
          </w:p>
        </w:tc>
        <w:tc>
          <w:tcPr>
            <w:tcW w:w="614" w:type="pct"/>
            <w:vMerge w:val="restart"/>
          </w:tcPr>
          <w:p w:rsidR="0094451B" w:rsidRDefault="002867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Лыхма</w:t>
            </w:r>
          </w:p>
        </w:tc>
        <w:tc>
          <w:tcPr>
            <w:tcW w:w="426" w:type="pct"/>
            <w:vMerge w:val="restar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5 532 770,00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94451B">
        <w:trPr>
          <w:jc w:val="center"/>
        </w:trPr>
        <w:tc>
          <w:tcPr>
            <w:tcW w:w="182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бюджета автономного округа в целях с</w:t>
            </w:r>
            <w:r>
              <w:rPr>
                <w:sz w:val="20"/>
                <w:szCs w:val="20"/>
                <w:lang w:eastAsia="ru-RU"/>
              </w:rPr>
              <w:t>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3 872 939,00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182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сельского поселения Лыхма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1 659 831,00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2959" w:type="pct"/>
            <w:gridSpan w:val="5"/>
            <w:vMerge w:val="restart"/>
          </w:tcPr>
          <w:p w:rsidR="0094451B" w:rsidRDefault="002867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 реализацию регионального проекта «Развитие экосистемы</w:t>
            </w:r>
          </w:p>
          <w:p w:rsidR="0094451B" w:rsidRDefault="002867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поддержки гражданских инициатив» в бюджетах поселений Белоярского района</w:t>
            </w: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44 399 021,20</w:t>
            </w:r>
          </w:p>
        </w:tc>
        <w:tc>
          <w:tcPr>
            <w:tcW w:w="502" w:type="pct"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2959" w:type="pct"/>
            <w:gridSpan w:val="5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средства бюджета автономного округа в целях </w:t>
            </w:r>
            <w:r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  <w:lang w:eastAsia="ru-RU"/>
              </w:rPr>
              <w:t>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31 079 314,82</w:t>
            </w:r>
          </w:p>
        </w:tc>
        <w:tc>
          <w:tcPr>
            <w:tcW w:w="502" w:type="pct"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51B">
        <w:trPr>
          <w:jc w:val="center"/>
        </w:trPr>
        <w:tc>
          <w:tcPr>
            <w:tcW w:w="2959" w:type="pct"/>
            <w:gridSpan w:val="5"/>
            <w:vMerge/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94451B" w:rsidRDefault="002867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бюджетов </w:t>
            </w:r>
            <w:r>
              <w:rPr>
                <w:sz w:val="20"/>
                <w:szCs w:val="20"/>
              </w:rPr>
              <w:t>поселений Белоярского района</w:t>
            </w:r>
          </w:p>
        </w:tc>
        <w:tc>
          <w:tcPr>
            <w:tcW w:w="552" w:type="pct"/>
          </w:tcPr>
          <w:p w:rsidR="0094451B" w:rsidRDefault="0028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13 319 706,38</w:t>
            </w:r>
          </w:p>
        </w:tc>
        <w:tc>
          <w:tcPr>
            <w:tcW w:w="502" w:type="pct"/>
            <w:tcBorders>
              <w:left w:val="single" w:sz="4" w:space="0" w:color="auto"/>
            </w:tcBorders>
          </w:tcPr>
          <w:p w:rsidR="0094451B" w:rsidRDefault="009445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94451B" w:rsidRDefault="0028671D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>
        <w:rPr>
          <w:rFonts w:eastAsia="Times New Roman"/>
          <w:lang w:eastAsia="ru-RU"/>
        </w:rPr>
        <w:t>&lt;*&gt; предоставление целевых субсидий бюджета автономного округа на реализацию инициативных проектов поселений Белоярского района, осуществляется из бюджета Белоярского района в соответствии с решением Думы Белояр</w:t>
      </w:r>
      <w:r>
        <w:rPr>
          <w:rFonts w:eastAsia="Times New Roman"/>
          <w:lang w:eastAsia="ru-RU"/>
        </w:rPr>
        <w:t xml:space="preserve">ского района </w:t>
      </w:r>
      <w:r>
        <w:rPr>
          <w:lang w:eastAsia="ru-RU"/>
        </w:rPr>
        <w:t>от 13 февраля 2020 года № 5 «Об утверждении Правил предоставления межбюджетных трансфертов из бюджета Белоярского района бюджетам городского и сельских поселений в границах Белоярского района».</w:t>
      </w:r>
    </w:p>
    <w:p w:rsidR="0094451B" w:rsidRDefault="0094451B">
      <w:pPr>
        <w:autoSpaceDE w:val="0"/>
        <w:autoSpaceDN w:val="0"/>
        <w:adjustRightInd w:val="0"/>
        <w:spacing w:after="0" w:line="240" w:lineRule="auto"/>
        <w:ind w:firstLineChars="6450" w:firstLine="14190"/>
        <w:jc w:val="both"/>
        <w:rPr>
          <w:lang w:val="en-US" w:eastAsia="ru-RU"/>
        </w:rPr>
      </w:pPr>
      <w:bookmarkStart w:id="0" w:name="_GoBack"/>
      <w:bookmarkEnd w:id="0"/>
    </w:p>
    <w:p w:rsidR="0094451B" w:rsidRDefault="0028671D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94451B" w:rsidSect="004A019C">
      <w:headerReference w:type="default" r:id="rId15"/>
      <w:headerReference w:type="first" r:id="rId16"/>
      <w:pgSz w:w="16838" w:h="11905" w:orient="landscape"/>
      <w:pgMar w:top="993" w:right="1134" w:bottom="850" w:left="1134" w:header="709" w:footer="709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71D" w:rsidRDefault="0028671D">
      <w:pPr>
        <w:spacing w:line="240" w:lineRule="auto"/>
      </w:pPr>
      <w:r>
        <w:separator/>
      </w:r>
    </w:p>
  </w:endnote>
  <w:endnote w:type="continuationSeparator" w:id="0">
    <w:p w:rsidR="0028671D" w:rsidRDefault="00286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1B" w:rsidRDefault="0094451B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1B" w:rsidRDefault="0094451B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1B" w:rsidRDefault="0094451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71D" w:rsidRDefault="0028671D">
      <w:pPr>
        <w:spacing w:after="0" w:line="240" w:lineRule="auto"/>
      </w:pPr>
      <w:r>
        <w:separator/>
      </w:r>
    </w:p>
  </w:footnote>
  <w:footnote w:type="continuationSeparator" w:id="0">
    <w:p w:rsidR="0028671D" w:rsidRDefault="00286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1B" w:rsidRDefault="0094451B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1B" w:rsidRDefault="0028671D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 w:rsidR="004A019C">
      <w:rPr>
        <w:noProof/>
      </w:rPr>
      <w:t>2</w:t>
    </w:r>
    <w:r>
      <w:fldChar w:fldCharType="end"/>
    </w:r>
  </w:p>
  <w:p w:rsidR="0094451B" w:rsidRDefault="0094451B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1B" w:rsidRDefault="0094451B">
    <w:pPr>
      <w:pStyle w:val="af4"/>
      <w:jc w:val="center"/>
    </w:pPr>
  </w:p>
  <w:p w:rsidR="0094451B" w:rsidRDefault="0094451B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1B" w:rsidRDefault="0028671D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 w:rsidR="004A019C">
      <w:rPr>
        <w:noProof/>
      </w:rPr>
      <w:t>11</w:t>
    </w:r>
    <w:r>
      <w:fldChar w:fldCharType="end"/>
    </w:r>
  </w:p>
  <w:p w:rsidR="0094451B" w:rsidRDefault="0094451B">
    <w:pPr>
      <w:pStyle w:val="af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1B" w:rsidRDefault="0094451B">
    <w:pPr>
      <w:pStyle w:val="af4"/>
      <w:jc w:val="center"/>
    </w:pPr>
  </w:p>
  <w:p w:rsidR="0094451B" w:rsidRDefault="0094451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908B7A"/>
    <w:multiLevelType w:val="singleLevel"/>
    <w:tmpl w:val="A4908B7A"/>
    <w:lvl w:ilvl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99"/>
    <w:rsid w:val="000E334D"/>
    <w:rsid w:val="00103906"/>
    <w:rsid w:val="001C6BDF"/>
    <w:rsid w:val="00280699"/>
    <w:rsid w:val="0028671D"/>
    <w:rsid w:val="002D67E1"/>
    <w:rsid w:val="003172D8"/>
    <w:rsid w:val="003C33D9"/>
    <w:rsid w:val="004069A1"/>
    <w:rsid w:val="004A019C"/>
    <w:rsid w:val="007052E7"/>
    <w:rsid w:val="007B3328"/>
    <w:rsid w:val="00850376"/>
    <w:rsid w:val="00862A87"/>
    <w:rsid w:val="0090013B"/>
    <w:rsid w:val="0094451B"/>
    <w:rsid w:val="00AC632E"/>
    <w:rsid w:val="00B1435B"/>
    <w:rsid w:val="00BC0B92"/>
    <w:rsid w:val="00C76F59"/>
    <w:rsid w:val="00DB309B"/>
    <w:rsid w:val="00EC1ECF"/>
    <w:rsid w:val="00F5260D"/>
    <w:rsid w:val="00FD2B1D"/>
    <w:rsid w:val="1272333B"/>
    <w:rsid w:val="13B40E4E"/>
    <w:rsid w:val="15C75A85"/>
    <w:rsid w:val="16052229"/>
    <w:rsid w:val="1AD87E42"/>
    <w:rsid w:val="23DF6C50"/>
    <w:rsid w:val="386B5B89"/>
    <w:rsid w:val="3C044A63"/>
    <w:rsid w:val="3E3D557E"/>
    <w:rsid w:val="4155408B"/>
    <w:rsid w:val="4CEE7213"/>
    <w:rsid w:val="51826A9A"/>
    <w:rsid w:val="52870558"/>
    <w:rsid w:val="53FE1261"/>
    <w:rsid w:val="63A70AE2"/>
    <w:rsid w:val="63BD3080"/>
    <w:rsid w:val="69C4040E"/>
    <w:rsid w:val="6BB3479A"/>
    <w:rsid w:val="6ED1503F"/>
    <w:rsid w:val="77604398"/>
    <w:rsid w:val="78B32738"/>
    <w:rsid w:val="7C6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7FB1"/>
  <w15:docId w15:val="{8775A6E1-221C-4FD7-A5F9-85DACDEA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800080"/>
      <w:u w:val="single"/>
    </w:rPr>
  </w:style>
  <w:style w:type="character" w:styleId="a4">
    <w:name w:val="footnote reference"/>
    <w:uiPriority w:val="99"/>
    <w:unhideWhenUsed/>
    <w:qFormat/>
    <w:rPr>
      <w:vertAlign w:val="superscript"/>
    </w:rPr>
  </w:style>
  <w:style w:type="character" w:styleId="a5">
    <w:name w:val="annotation reference"/>
    <w:uiPriority w:val="99"/>
    <w:qFormat/>
    <w:rPr>
      <w:sz w:val="16"/>
      <w:szCs w:val="16"/>
    </w:rPr>
  </w:style>
  <w:style w:type="character" w:styleId="a6">
    <w:name w:val="endnote reference"/>
    <w:uiPriority w:val="99"/>
    <w:semiHidden/>
    <w:unhideWhenUsed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paragraph" w:styleId="a8">
    <w:name w:val="Balloon Text"/>
    <w:basedOn w:val="a"/>
    <w:link w:val="a9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e">
    <w:name w:val="annotation text"/>
    <w:basedOn w:val="a"/>
    <w:link w:val="af"/>
    <w:qFormat/>
    <w:pPr>
      <w:spacing w:after="0" w:line="240" w:lineRule="auto"/>
    </w:pPr>
    <w:rPr>
      <w:rFonts w:eastAsia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qFormat/>
    <w:pPr>
      <w:spacing w:after="200" w:line="276" w:lineRule="auto"/>
    </w:pPr>
    <w:rPr>
      <w:b/>
      <w:bCs/>
    </w:rPr>
  </w:style>
  <w:style w:type="paragraph" w:styleId="af2">
    <w:name w:val="footnote text"/>
    <w:basedOn w:val="a"/>
    <w:link w:val="af3"/>
    <w:uiPriority w:val="99"/>
    <w:unhideWhenUsed/>
    <w:qFormat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6">
    <w:name w:val="table of figures"/>
    <w:basedOn w:val="a"/>
    <w:next w:val="a"/>
    <w:uiPriority w:val="99"/>
    <w:unhideWhenUsed/>
    <w:qFormat/>
    <w:pPr>
      <w:spacing w:after="0"/>
    </w:pPr>
  </w:style>
  <w:style w:type="paragraph" w:styleId="3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7">
    <w:name w:val="Title"/>
    <w:basedOn w:val="a"/>
    <w:next w:val="a"/>
    <w:link w:val="af8"/>
    <w:uiPriority w:val="10"/>
    <w:qFormat/>
    <w:pPr>
      <w:spacing w:before="300"/>
      <w:contextualSpacing/>
    </w:pPr>
    <w:rPr>
      <w:sz w:val="48"/>
      <w:szCs w:val="48"/>
    </w:rPr>
  </w:style>
  <w:style w:type="paragraph" w:styleId="af9">
    <w:name w:val="footer"/>
    <w:basedOn w:val="a"/>
    <w:link w:val="afa"/>
    <w:uiPriority w:val="99"/>
    <w:unhideWhenUsed/>
    <w:qFormat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c">
    <w:name w:val="Subtitle"/>
    <w:basedOn w:val="a"/>
    <w:next w:val="a"/>
    <w:link w:val="afd"/>
    <w:uiPriority w:val="11"/>
    <w:qFormat/>
    <w:pPr>
      <w:spacing w:before="200"/>
    </w:pPr>
    <w:rPr>
      <w:sz w:val="24"/>
      <w:szCs w:val="24"/>
    </w:rPr>
  </w:style>
  <w:style w:type="table" w:styleId="af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f">
    <w:name w:val="List Paragraph"/>
    <w:basedOn w:val="a"/>
    <w:uiPriority w:val="99"/>
    <w:qFormat/>
    <w:pPr>
      <w:spacing w:after="160" w:line="256" w:lineRule="auto"/>
      <w:ind w:left="720"/>
      <w:contextualSpacing/>
    </w:pPr>
    <w:rPr>
      <w:rFonts w:ascii="Calibri" w:eastAsia="Calibri" w:hAnsi="Calibri"/>
    </w:rPr>
  </w:style>
  <w:style w:type="paragraph" w:styleId="aff0">
    <w:name w:val="No Spacing"/>
    <w:uiPriority w:val="1"/>
    <w:qFormat/>
    <w:rPr>
      <w:lang w:eastAsia="zh-CN"/>
    </w:rPr>
  </w:style>
  <w:style w:type="character" w:customStyle="1" w:styleId="af8">
    <w:name w:val="Заголовок Знак"/>
    <w:link w:val="af7"/>
    <w:uiPriority w:val="10"/>
    <w:qFormat/>
    <w:rPr>
      <w:sz w:val="48"/>
      <w:szCs w:val="48"/>
    </w:rPr>
  </w:style>
  <w:style w:type="character" w:customStyle="1" w:styleId="afd">
    <w:name w:val="Подзаголовок Знак"/>
    <w:link w:val="afc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link w:val="aff1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d">
    <w:name w:val="Название объекта Знак"/>
    <w:link w:val="ac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lang w:eastAsia="zh-CN"/>
    </w:rPr>
  </w:style>
  <w:style w:type="character" w:customStyle="1" w:styleId="10">
    <w:name w:val="Заголовок 1 Знак"/>
    <w:link w:val="1"/>
    <w:qFormat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qFormat/>
    <w:rPr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qFormat/>
    <w:rPr>
      <w:sz w:val="28"/>
      <w:szCs w:val="28"/>
      <w:lang w:val="ru-RU" w:eastAsia="ru-RU" w:bidi="ar-SA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qFormat/>
    <w:rPr>
      <w:rFonts w:eastAsia="Calibri"/>
      <w:sz w:val="24"/>
      <w:szCs w:val="24"/>
      <w:lang w:val="ru-RU" w:eastAsia="ru-RU" w:bidi="ar-SA"/>
    </w:rPr>
  </w:style>
  <w:style w:type="character" w:customStyle="1" w:styleId="af">
    <w:name w:val="Текст примечания Знак"/>
    <w:link w:val="ae"/>
    <w:qFormat/>
    <w:rPr>
      <w:rFonts w:ascii="Times New Roman" w:eastAsia="Times New Roman" w:hAnsi="Times New Roman"/>
    </w:rPr>
  </w:style>
  <w:style w:type="character" w:customStyle="1" w:styleId="af1">
    <w:name w:val="Тема примечания Знак"/>
    <w:link w:val="af0"/>
    <w:uiPriority w:val="99"/>
    <w:semiHidden/>
    <w:qFormat/>
    <w:rPr>
      <w:rFonts w:ascii="Times New Roman" w:eastAsia="Times New Roman" w:hAnsi="Times New Roman"/>
      <w:b/>
      <w:bCs/>
      <w:lang w:eastAsia="en-US"/>
    </w:rPr>
  </w:style>
  <w:style w:type="character" w:customStyle="1" w:styleId="af3">
    <w:name w:val="Текст сноски Знак"/>
    <w:link w:val="af2"/>
    <w:uiPriority w:val="99"/>
    <w:semiHidden/>
    <w:qFormat/>
    <w:rPr>
      <w:lang w:eastAsia="en-US"/>
    </w:rPr>
  </w:style>
  <w:style w:type="character" w:customStyle="1" w:styleId="af5">
    <w:name w:val="Верхний колонтитул Знак"/>
    <w:link w:val="af4"/>
    <w:uiPriority w:val="99"/>
    <w:qFormat/>
    <w:rPr>
      <w:sz w:val="22"/>
      <w:szCs w:val="22"/>
      <w:lang w:eastAsia="en-US"/>
    </w:rPr>
  </w:style>
  <w:style w:type="character" w:customStyle="1" w:styleId="afa">
    <w:name w:val="Нижний колонтитул Знак"/>
    <w:link w:val="af9"/>
    <w:uiPriority w:val="99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</w:rPr>
  </w:style>
  <w:style w:type="character" w:customStyle="1" w:styleId="font61">
    <w:name w:val="font61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font51">
    <w:name w:val="font51"/>
    <w:qFormat/>
    <w:rPr>
      <w:rFonts w:ascii="Times New Roman" w:hAnsi="Times New Roman" w:cs="Times New Roman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3150</Words>
  <Characters>17958</Characters>
  <Application>Microsoft Office Word</Application>
  <DocSecurity>0</DocSecurity>
  <Lines>149</Lines>
  <Paragraphs>42</Paragraphs>
  <ScaleCrop>false</ScaleCrop>
  <Company>*</Company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shabanova</dc:creator>
  <cp:lastModifiedBy>Русак В.С.</cp:lastModifiedBy>
  <cp:revision>3</cp:revision>
  <cp:lastPrinted>2025-06-04T10:55:00Z</cp:lastPrinted>
  <dcterms:created xsi:type="dcterms:W3CDTF">2025-06-05T09:27:00Z</dcterms:created>
  <dcterms:modified xsi:type="dcterms:W3CDTF">2025-06-05T11:44:00Z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