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5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5"/>
        <w:jc w:val="center"/>
        <w:rPr>
          <w:b w:val="0"/>
          <w:sz w:val="22"/>
          <w:szCs w:val="22"/>
        </w:rPr>
      </w:pPr>
      <w:r>
        <w:rPr>
          <w:szCs w:val="28"/>
        </w:rPr>
        <w:t xml:space="preserve"> АДМИНИСТРАЦИЯ БЕЛОЯРСКОГО РАЙОНА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90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5"/>
        <w:jc w:val="center"/>
      </w:pPr>
      <w:r>
        <w:t xml:space="preserve">ПОСТАНОВЛЕНИЕ</w:t>
      </w:r>
      <w:r/>
    </w:p>
    <w:p>
      <w:pPr>
        <w:pStyle w:val="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14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4"/>
        <w:jc w:val="both"/>
      </w:pPr>
      <w:r>
        <w:rPr>
          <w:sz w:val="24"/>
          <w:szCs w:val="24"/>
        </w:rPr>
        <w:t xml:space="preserve">от 20 ноября 2025 года                                                                                                           № 766</w:t>
      </w:r>
      <w:r/>
    </w:p>
    <w:p>
      <w:pPr>
        <w:pStyle w:val="914"/>
        <w:jc w:val="both"/>
        <w:tabs>
          <w:tab w:val="left" w:pos="2055" w:leader="none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b/>
          <w:szCs w:val="24"/>
        </w:rPr>
      </w:pPr>
      <w:r>
        <w:rPr>
          <w:b/>
          <w:szCs w:val="24"/>
        </w:rPr>
        <w:t xml:space="preserve">О внесении изменения в </w:t>
      </w:r>
      <w:r>
        <w:rPr>
          <w:b/>
          <w:szCs w:val="24"/>
        </w:rPr>
        <w:t xml:space="preserve">приложение к </w:t>
      </w:r>
      <w:r>
        <w:rPr>
          <w:b/>
          <w:szCs w:val="24"/>
        </w:rPr>
        <w:t xml:space="preserve">постановлени</w:t>
      </w:r>
      <w:r>
        <w:rPr>
          <w:b/>
          <w:szCs w:val="24"/>
        </w:rPr>
        <w:t xml:space="preserve">ю</w:t>
      </w:r>
      <w:r>
        <w:rPr>
          <w:b/>
          <w:szCs w:val="24"/>
        </w:rPr>
        <w:t xml:space="preserve"> администрации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14"/>
        <w:rPr>
          <w:b/>
          <w:szCs w:val="24"/>
        </w:rPr>
      </w:pPr>
      <w:r>
        <w:rPr>
          <w:b/>
          <w:szCs w:val="24"/>
        </w:rPr>
        <w:t xml:space="preserve">Белоярского района от 13 мая 2025 года № 295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14"/>
      </w:pPr>
      <w:r>
        <w:rPr>
          <w:szCs w:val="24"/>
        </w:rPr>
      </w:r>
      <w:r>
        <w:rPr>
          <w:szCs w:val="24"/>
        </w:rPr>
      </w:r>
      <w:r/>
    </w:p>
    <w:p>
      <w:pPr>
        <w:pStyle w:val="914"/>
      </w:pPr>
      <w:r/>
      <w:r/>
    </w:p>
    <w:p>
      <w:pPr>
        <w:pStyle w:val="914"/>
      </w:pPr>
      <w:r>
        <w:rPr>
          <w:szCs w:val="24"/>
        </w:rPr>
      </w:r>
      <w:r>
        <w:rPr>
          <w:szCs w:val="24"/>
        </w:rPr>
      </w:r>
      <w:r/>
    </w:p>
    <w:p>
      <w:pPr>
        <w:pStyle w:val="90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ind w:left="0" w:right="0" w:firstLine="709"/>
        <w:jc w:val="both"/>
      </w:pPr>
      <w:r>
        <w:rPr>
          <w:szCs w:val="24"/>
        </w:rPr>
        <w:t xml:space="preserve">1. Внести в приложение 1 «</w:t>
      </w:r>
      <w:r>
        <w:rPr>
          <w:bCs/>
          <w:szCs w:val="24"/>
        </w:rPr>
        <w:t xml:space="preserve">Порядок предоставления грантов в форме субсидий социально ориентированным некоммерческим организациям, не являющимся государственными (муниципальными) учреждениями,  на реализацию социально значимых мероприятий на территории Белоярского района</w:t>
      </w:r>
      <w:r>
        <w:rPr>
          <w:szCs w:val="24"/>
        </w:rPr>
        <w:t xml:space="preserve">» (далее – Порядок) к постановлению администрации Белоярского района </w:t>
      </w:r>
      <w:r>
        <w:rPr>
          <w:szCs w:val="24"/>
        </w:rPr>
        <w:t xml:space="preserve">от 13 мая 2025 года № 295 </w:t>
      </w:r>
      <w:r>
        <w:rPr>
          <w:szCs w:val="24"/>
        </w:rPr>
        <w:t xml:space="preserve">«</w:t>
      </w:r>
      <w:r>
        <w:rPr>
          <w:szCs w:val="24"/>
        </w:rPr>
        <w:t xml:space="preserve">О Порядке предоставления грантов в форме субсидий социально </w:t>
      </w:r>
      <w:r>
        <w:rPr>
          <w:szCs w:val="24"/>
        </w:rPr>
        <w:t xml:space="preserve">ориентированным некоммерческим организациям,           не являющимся государственными (муниципальными) учреждениями, на реализацию социально значимых мероприятий на территории Белоярского района</w:t>
      </w:r>
      <w:r>
        <w:rPr>
          <w:szCs w:val="24"/>
        </w:rPr>
        <w:t xml:space="preserve">»            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изменение</w:t>
      </w:r>
      <w:r>
        <w:rPr>
          <w:szCs w:val="24"/>
        </w:rPr>
        <w:t xml:space="preserve">, изложив </w:t>
      </w:r>
      <w:r>
        <w:rPr>
          <w:sz w:val="24"/>
          <w:szCs w:val="24"/>
        </w:rPr>
        <w:t xml:space="preserve">приложение 1 </w:t>
      </w:r>
      <w:r>
        <w:rPr>
          <w:sz w:val="24"/>
          <w:szCs w:val="24"/>
        </w:rPr>
        <w:t xml:space="preserve">«Перечень </w:t>
      </w:r>
      <w:r>
        <w:rPr>
          <w:sz w:val="24"/>
          <w:szCs w:val="24"/>
        </w:rPr>
        <w:t xml:space="preserve">направлений деятельности и размер предоставления в 2025 году грантов </w:t>
      </w:r>
      <w:r>
        <w:rPr>
          <w:sz w:val="24"/>
          <w:szCs w:val="24"/>
        </w:rPr>
        <w:t xml:space="preserve">в форме субсидий социально ориентированным некоммерческим организациям, </w:t>
      </w:r>
      <w:r>
        <w:rPr>
          <w:sz w:val="24"/>
          <w:szCs w:val="24"/>
        </w:rPr>
        <w:t xml:space="preserve">не являющимся государственными (муниципальными) учреждениями, </w:t>
      </w:r>
      <w:r>
        <w:rPr>
          <w:sz w:val="24"/>
          <w:szCs w:val="24"/>
        </w:rPr>
        <w:t xml:space="preserve">на реализацию социально значимых мероприятий на территории Белоярского района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к Порядку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редакции согласно прилож</w:t>
      </w:r>
      <w:r>
        <w:rPr>
          <w:sz w:val="24"/>
          <w:szCs w:val="24"/>
        </w:rPr>
        <w:t xml:space="preserve">ению </w:t>
      </w:r>
      <w:r>
        <w:rPr>
          <w:sz w:val="24"/>
          <w:szCs w:val="24"/>
        </w:rPr>
        <w:t xml:space="preserve">к настоящему постановлению.</w:t>
      </w:r>
      <w:r>
        <w:rPr>
          <w:sz w:val="24"/>
          <w:szCs w:val="24"/>
        </w:rPr>
      </w:r>
      <w:r/>
    </w:p>
    <w:p>
      <w:pPr>
        <w:pStyle w:val="90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t xml:space="preserve">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left="0" w:right="0" w:firstLine="709"/>
        <w:jc w:val="both"/>
        <w:tabs>
          <w:tab w:val="left" w:pos="720" w:leader="none"/>
          <w:tab w:val="left" w:pos="110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</w:t>
        <w:tab/>
        <w:tab/>
        <w:tab/>
        <w:tab/>
        <w:t xml:space="preserve">           </w:t>
        <w:tab/>
        <w:t xml:space="preserve">             С.П.</w:t>
      </w:r>
      <w:r>
        <w:rPr>
          <w:sz w:val="24"/>
          <w:szCs w:val="24"/>
        </w:rPr>
        <w:t xml:space="preserve">Маненков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           ПРИЛОЖЕНИЕ</w:t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         к постановлению администрации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           Белоярского района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           от 20 ноября 2025 года № 766</w:t>
      </w:r>
      <w:r>
        <w:rPr>
          <w:sz w:val="24"/>
          <w:szCs w:val="24"/>
        </w:rPr>
      </w:r>
      <w:r/>
    </w:p>
    <w:p>
      <w:pPr>
        <w:jc w:val="both"/>
        <w:rPr>
          <w:sz w:val="12"/>
          <w:szCs w:val="12"/>
        </w:rPr>
      </w:pPr>
      <w:r>
        <w:rPr>
          <w:sz w:val="24"/>
          <w:szCs w:val="24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     ПРИЛОЖЕНИЕ 1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к Порядку предоставления  грантов  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в форме субсидий социально ориентированным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 некоммерческим организациям, не являющимся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государственными (муниципальными) учреждениями,</w:t>
      </w:r>
      <w:r>
        <w:rPr>
          <w:sz w:val="24"/>
          <w:szCs w:val="24"/>
        </w:rPr>
      </w:r>
      <w:r/>
    </w:p>
    <w:p>
      <w:pPr>
        <w:jc w:val="center"/>
      </w:pPr>
      <w:r>
        <w:rPr>
          <w:sz w:val="24"/>
          <w:szCs w:val="24"/>
        </w:rPr>
        <w:t xml:space="preserve">                                                                  на реализацию социально значимых мероприятий</w:t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на территории Белоярского района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 Е Р Е Ч Е Н 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направлений деятельности и размер предоставления в 2025 году грантов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форме субсидий социально ориентированным некоммерческим организациям,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не являющимся государственными (муниципальными) учреждениями,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4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на реализацию социально значимых мероприятий на территории Белоярского района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pPr w:horzAnchor="margin" w:tblpXSpec="left" w:vertAnchor="text" w:tblpY="178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3655"/>
        <w:gridCol w:w="3558"/>
        <w:gridCol w:w="193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</w:rPr>
              <w:framePr w:hSpace="180" w:wrap="around" w:vAnchor="text" w:hAnchor="margin" w:y="178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4"/>
              <w:jc w:val="center"/>
              <w:rPr>
                <w:sz w:val="24"/>
                <w:szCs w:val="24"/>
              </w:rPr>
              <w:framePr w:hSpace="180" w:wrap="around" w:vAnchor="text" w:hAnchor="margin" w:y="178"/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</w:rPr>
              <w:framePr w:hSpace="180" w:wrap="around" w:vAnchor="text" w:hAnchor="margin" w:y="178"/>
            </w:pPr>
            <w:r>
              <w:rPr>
                <w:sz w:val="24"/>
                <w:szCs w:val="24"/>
              </w:rPr>
              <w:t xml:space="preserve">Направление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8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</w:rPr>
              <w:framePr w:hSpace="180" w:wrap="around" w:vAnchor="text" w:hAnchor="margin" w:y="178"/>
            </w:pPr>
            <w:r>
              <w:rPr>
                <w:sz w:val="24"/>
                <w:szCs w:val="24"/>
              </w:rPr>
              <w:t xml:space="preserve">Наименование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</w:rPr>
              <w:framePr w:hSpace="180" w:wrap="around" w:vAnchor="text" w:hAnchor="margin" w:y="178"/>
            </w:pPr>
            <w:r>
              <w:rPr>
                <w:sz w:val="24"/>
                <w:szCs w:val="24"/>
              </w:rPr>
              <w:t xml:space="preserve">Размер гранта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4"/>
              <w:jc w:val="center"/>
              <w:rPr>
                <w:sz w:val="24"/>
                <w:szCs w:val="24"/>
              </w:rPr>
              <w:framePr w:hSpace="180" w:wrap="around" w:vAnchor="text" w:hAnchor="margin" w:y="178"/>
            </w:pPr>
            <w:r>
              <w:rPr>
                <w:sz w:val="24"/>
                <w:szCs w:val="24"/>
              </w:rPr>
              <w:t xml:space="preserve">в форме субсидий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4"/>
              <w:jc w:val="center"/>
              <w:rPr>
                <w:sz w:val="24"/>
                <w:szCs w:val="24"/>
              </w:rPr>
              <w:framePr w:hSpace="180" w:wrap="around" w:vAnchor="text" w:hAnchor="margin" w:y="178"/>
            </w:pPr>
            <w:r>
              <w:rPr>
                <w:sz w:val="24"/>
                <w:szCs w:val="24"/>
              </w:rPr>
              <w:t xml:space="preserve"> (рублей)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bCs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Cs/>
                <w:sz w:val="24"/>
                <w:szCs w:val="24"/>
                <w:highlight w:val="white"/>
              </w:rPr>
              <w:t xml:space="preserve">Деятельность в области образования, просвещения, науки, культуры, искусства, здр</w:t>
            </w:r>
            <w:r>
              <w:rPr>
                <w:bCs/>
                <w:sz w:val="24"/>
                <w:szCs w:val="24"/>
                <w:highlight w:val="white"/>
              </w:rPr>
              <w:t xml:space="preserve">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8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Мероприятия </w:t>
            </w:r>
            <w:r>
              <w:rPr>
                <w:bCs/>
                <w:sz w:val="24"/>
                <w:szCs w:val="24"/>
                <w:highlight w:val="white"/>
              </w:rPr>
              <w:t xml:space="preserve">в области образования, просвещения, культуры, искусства, здр</w:t>
            </w:r>
            <w:r>
              <w:rPr>
                <w:bCs/>
                <w:sz w:val="24"/>
                <w:szCs w:val="24"/>
                <w:highlight w:val="white"/>
              </w:rPr>
              <w:t xml:space="preserve">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  <w:t xml:space="preserve">00 000,0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3" w:type="dxa"/>
            <w:vAlign w:val="top"/>
            <w:textDirection w:val="lrTb"/>
            <w:noWrap w:val="false"/>
          </w:tcPr>
          <w:p>
            <w:pPr>
              <w:pStyle w:val="904"/>
              <w:rPr>
                <w:b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Итого по направлению: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b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10</w:t>
            </w:r>
            <w:r>
              <w:rPr>
                <w:b/>
                <w:sz w:val="24"/>
                <w:szCs w:val="24"/>
                <w:highlight w:val="white"/>
              </w:rPr>
              <w:t xml:space="preserve">00 000</w:t>
            </w:r>
            <w:r>
              <w:rPr>
                <w:b/>
                <w:sz w:val="24"/>
                <w:szCs w:val="24"/>
                <w:highlight w:val="white"/>
              </w:rPr>
              <w:t xml:space="preserve">,0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2.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bCs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Cs/>
                <w:sz w:val="24"/>
                <w:szCs w:val="24"/>
                <w:highlight w:val="white"/>
              </w:rPr>
              <w:t xml:space="preserve">Благотворительная деятельность, а также деятельность в области организации  и поддержки благотворительности и добровольчества (волонтерства)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8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Мероприятия в сфере</w:t>
            </w:r>
            <w:r>
              <w:rPr>
                <w:bCs/>
                <w:sz w:val="24"/>
                <w:szCs w:val="24"/>
                <w:highlight w:val="white"/>
              </w:rPr>
              <w:t xml:space="preserve"> благотворительности и добровольчества (волонтерства)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500 000,0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3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Итого по направлению: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b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500 000,0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Cs/>
                <w:sz w:val="24"/>
                <w:szCs w:val="24"/>
                <w:highlight w:val="white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8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Мероприятия, направленные на укрепление межнационального и межконфессионального согласия, </w:t>
            </w:r>
            <w:r>
              <w:rPr>
                <w:bCs/>
                <w:sz w:val="24"/>
                <w:szCs w:val="24"/>
                <w:highlight w:val="white"/>
              </w:rPr>
              <w:t xml:space="preserve">сохранение и защиту самобытности, культуры, языков и традиций народов Российской Федерации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  <w:t xml:space="preserve">200 000,0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Итого по направлению: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8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b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200 000,0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904"/>
              <w:jc w:val="both"/>
              <w:rPr>
                <w:b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Всего: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8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b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Align w:val="top"/>
            <w:textDirection w:val="lrTb"/>
            <w:noWrap w:val="false"/>
          </w:tcPr>
          <w:p>
            <w:pPr>
              <w:pStyle w:val="904"/>
              <w:jc w:val="center"/>
              <w:rPr>
                <w:b/>
                <w:sz w:val="24"/>
                <w:szCs w:val="24"/>
                <w:highlight w:val="white"/>
              </w:rPr>
              <w:framePr w:hSpace="180" w:wrap="around" w:vAnchor="text" w:hAnchor="margin" w:y="178"/>
            </w:pPr>
            <w:r>
              <w:rPr>
                <w:b/>
                <w:sz w:val="24"/>
                <w:szCs w:val="24"/>
                <w:highlight w:val="white"/>
              </w:rPr>
              <w:t xml:space="preserve">1 700 000,0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</w:tbl>
    <w:p>
      <w:pPr>
        <w:pStyle w:val="904"/>
        <w:jc w:val="center"/>
        <w:rPr>
          <w:b/>
          <w:bCs/>
          <w:sz w:val="12"/>
          <w:szCs w:val="12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</w:p>
    <w:p>
      <w:pPr>
        <w:pStyle w:val="904"/>
        <w:jc w:val="center"/>
      </w:pPr>
      <w:r>
        <w:t xml:space="preserve">_________________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  <w:highlight w:val="none"/>
        </w:rPr>
      </w:r>
      <w:r/>
    </w:p>
    <w:sectPr>
      <w:headerReference w:type="default" r:id="rId8"/>
      <w:headerReference w:type="even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567" w:right="737" w:bottom="567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500000000000000"/>
  </w:font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ind w:right="360"/>
      <w:rPr>
        <w:rStyle w:val="912"/>
      </w:rPr>
      <w:framePr w:wrap="around" w:vAnchor="text" w:hAnchor="margin" w:xAlign="right" w:y="1"/>
    </w:pPr>
    <w:r>
      <w:rPr>
        <w:rStyle w:val="912"/>
      </w:rPr>
    </w:r>
    <w:r>
      <w:rPr>
        <w:rStyle w:val="912"/>
      </w:rPr>
    </w:r>
    <w:r>
      <w:rPr>
        <w:rStyle w:val="912"/>
      </w:rPr>
    </w:r>
  </w:p>
  <w:p>
    <w:pPr>
      <w:pStyle w:val="91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2"/>
      </w:rPr>
      <w:framePr w:wrap="around" w:vAnchor="text" w:hAnchor="margin" w:xAlign="right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2"/>
        <w:color w:val="ffffff"/>
      </w:rPr>
      <w:framePr w:wrap="around" w:vAnchor="text" w:hAnchor="margin" w:xAlign="center" w:y="1"/>
    </w:pPr>
    <w:r>
      <w:rPr>
        <w:rStyle w:val="912"/>
        <w:color w:val="ffffff"/>
      </w:rPr>
      <w:fldChar w:fldCharType="begin"/>
    </w:r>
    <w:r>
      <w:rPr>
        <w:rStyle w:val="912"/>
        <w:color w:val="ffffff"/>
      </w:rPr>
      <w:instrText xml:space="preserve">PAGE  </w:instrText>
    </w:r>
    <w:r>
      <w:rPr>
        <w:rStyle w:val="912"/>
        <w:color w:val="ffffff"/>
      </w:rPr>
      <w:fldChar w:fldCharType="separate"/>
    </w:r>
    <w:r>
      <w:rPr>
        <w:rStyle w:val="912"/>
        <w:color w:val="ffffff"/>
      </w:rPr>
      <w:t xml:space="preserve">2</w:t>
    </w:r>
    <w:r>
      <w:rPr>
        <w:rStyle w:val="912"/>
        <w:color w:val="ffffff"/>
      </w:rPr>
      <w:fldChar w:fldCharType="end"/>
    </w:r>
    <w:r>
      <w:rPr>
        <w:rStyle w:val="912"/>
        <w:color w:val="ffffff"/>
      </w:rPr>
    </w:r>
    <w:r>
      <w:rPr>
        <w:rStyle w:val="912"/>
        <w:color w:val="ffffff"/>
      </w:rPr>
    </w:r>
  </w:p>
  <w:p>
    <w:pPr>
      <w:pStyle w:val="9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rPr>
      <w:lang w:val="ru-RU" w:eastAsia="ru-RU" w:bidi="ar-SA"/>
    </w:rPr>
  </w:style>
  <w:style w:type="paragraph" w:styleId="905">
    <w:name w:val="Заголовок 1"/>
    <w:basedOn w:val="904"/>
    <w:next w:val="904"/>
    <w:link w:val="904"/>
    <w:qFormat/>
    <w:pPr>
      <w:jc w:val="center"/>
      <w:keepNext/>
      <w:outlineLvl w:val="0"/>
    </w:pPr>
    <w:rPr>
      <w:b/>
      <w:sz w:val="28"/>
    </w:rPr>
  </w:style>
  <w:style w:type="paragraph" w:styleId="906">
    <w:name w:val="Заголовок 2"/>
    <w:basedOn w:val="904"/>
    <w:next w:val="904"/>
    <w:link w:val="904"/>
    <w:qFormat/>
    <w:pPr>
      <w:jc w:val="center"/>
      <w:keepNext/>
      <w:outlineLvl w:val="1"/>
    </w:pPr>
    <w:rPr>
      <w:b/>
      <w:sz w:val="24"/>
    </w:rPr>
  </w:style>
  <w:style w:type="paragraph" w:styleId="907">
    <w:name w:val="Заголовок 3"/>
    <w:basedOn w:val="904"/>
    <w:next w:val="904"/>
    <w:link w:val="904"/>
    <w:qFormat/>
    <w:pPr>
      <w:jc w:val="center"/>
      <w:keepNext/>
      <w:outlineLvl w:val="2"/>
    </w:pPr>
    <w:rPr>
      <w:sz w:val="28"/>
    </w:rPr>
  </w:style>
  <w:style w:type="character" w:styleId="908">
    <w:name w:val="Основной шрифт абзаца"/>
    <w:next w:val="908"/>
    <w:link w:val="904"/>
    <w:semiHidden/>
  </w:style>
  <w:style w:type="table" w:styleId="909">
    <w:name w:val="Обычная таблица"/>
    <w:next w:val="909"/>
    <w:link w:val="904"/>
    <w:semiHidden/>
    <w:tblPr/>
  </w:style>
  <w:style w:type="numbering" w:styleId="910">
    <w:name w:val="Нет списка"/>
    <w:next w:val="910"/>
    <w:link w:val="904"/>
    <w:semiHidden/>
  </w:style>
  <w:style w:type="character" w:styleId="911">
    <w:name w:val="Гиперссылка"/>
    <w:next w:val="911"/>
    <w:link w:val="904"/>
    <w:rPr>
      <w:color w:val="0000ff"/>
      <w:u w:val="single"/>
    </w:rPr>
  </w:style>
  <w:style w:type="character" w:styleId="912">
    <w:name w:val="Номер страницы"/>
    <w:basedOn w:val="908"/>
    <w:next w:val="912"/>
    <w:link w:val="904"/>
  </w:style>
  <w:style w:type="paragraph" w:styleId="913">
    <w:name w:val="Текст выноски"/>
    <w:basedOn w:val="904"/>
    <w:next w:val="913"/>
    <w:link w:val="904"/>
    <w:semiHidden/>
    <w:rPr>
      <w:rFonts w:ascii="Tahoma" w:hAnsi="Tahoma" w:cs="Tahoma"/>
      <w:sz w:val="16"/>
      <w:szCs w:val="16"/>
    </w:rPr>
  </w:style>
  <w:style w:type="paragraph" w:styleId="914">
    <w:name w:val="Основной текст с отступом 3"/>
    <w:basedOn w:val="904"/>
    <w:next w:val="914"/>
    <w:link w:val="904"/>
    <w:pPr>
      <w:jc w:val="center"/>
    </w:pPr>
    <w:rPr>
      <w:sz w:val="24"/>
    </w:rPr>
  </w:style>
  <w:style w:type="paragraph" w:styleId="915">
    <w:name w:val="Верхний колонтитул"/>
    <w:basedOn w:val="904"/>
    <w:next w:val="915"/>
    <w:link w:val="904"/>
    <w:pPr>
      <w:tabs>
        <w:tab w:val="center" w:pos="4677" w:leader="none"/>
        <w:tab w:val="right" w:pos="9355" w:leader="none"/>
      </w:tabs>
    </w:pPr>
  </w:style>
  <w:style w:type="paragraph" w:styleId="916">
    <w:name w:val="Основной текст"/>
    <w:basedOn w:val="904"/>
    <w:next w:val="916"/>
    <w:link w:val="904"/>
    <w:pPr>
      <w:spacing w:after="120"/>
    </w:pPr>
  </w:style>
  <w:style w:type="paragraph" w:styleId="917">
    <w:name w:val="Нижний колонтитул"/>
    <w:basedOn w:val="904"/>
    <w:next w:val="917"/>
    <w:link w:val="904"/>
    <w:pPr>
      <w:tabs>
        <w:tab w:val="center" w:pos="4677" w:leader="none"/>
        <w:tab w:val="right" w:pos="9355" w:leader="none"/>
      </w:tabs>
    </w:pPr>
  </w:style>
  <w:style w:type="paragraph" w:styleId="918">
    <w:name w:val="Обычный (веб)"/>
    <w:basedOn w:val="904"/>
    <w:next w:val="918"/>
    <w:link w:val="904"/>
    <w:pPr>
      <w:spacing w:before="100" w:beforeAutospacing="1" w:after="100" w:afterAutospacing="1"/>
    </w:pPr>
    <w:rPr>
      <w:sz w:val="24"/>
      <w:szCs w:val="24"/>
    </w:rPr>
  </w:style>
  <w:style w:type="paragraph" w:styleId="919">
    <w:name w:val="Цитата"/>
    <w:basedOn w:val="904"/>
    <w:next w:val="919"/>
    <w:link w:val="904"/>
    <w:pPr>
      <w:ind w:left="45" w:right="19" w:firstLine="522"/>
      <w:jc w:val="both"/>
      <w:spacing w:line="360" w:lineRule="auto"/>
      <w:shd w:val="clear" w:color="auto" w:fill="ffffff"/>
    </w:pPr>
    <w:rPr>
      <w:color w:val="000000"/>
      <w:sz w:val="28"/>
      <w:szCs w:val="30"/>
    </w:rPr>
  </w:style>
  <w:style w:type="table" w:styleId="920">
    <w:name w:val="Сетка таблицы"/>
    <w:basedOn w:val="909"/>
    <w:next w:val="920"/>
    <w:link w:val="904"/>
    <w:tblPr/>
  </w:style>
  <w:style w:type="paragraph" w:styleId="921">
    <w:name w:val=" Знак1"/>
    <w:basedOn w:val="904"/>
    <w:next w:val="921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>
    <w:name w:val="Знак2"/>
    <w:basedOn w:val="904"/>
    <w:next w:val="922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3">
    <w:name w:val="ConsPlusNormal"/>
    <w:next w:val="923"/>
    <w:link w:val="924"/>
    <w:pPr>
      <w:ind w:firstLine="720"/>
    </w:pPr>
    <w:rPr>
      <w:rFonts w:ascii="Arial" w:hAnsi="Arial" w:cs="Arial"/>
      <w:lang w:val="ru-RU" w:eastAsia="ru-RU" w:bidi="ar-SA"/>
    </w:rPr>
  </w:style>
  <w:style w:type="character" w:styleId="924">
    <w:name w:val="ConsPlusNormal Знак"/>
    <w:next w:val="924"/>
    <w:link w:val="923"/>
    <w:rPr>
      <w:rFonts w:ascii="Arial" w:hAnsi="Arial" w:cs="Arial"/>
      <w:lang w:val="ru-RU" w:eastAsia="ru-RU" w:bidi="ar-SA"/>
    </w:rPr>
  </w:style>
  <w:style w:type="paragraph" w:styleId="925">
    <w:name w:val="ConsPlusTitle"/>
    <w:next w:val="925"/>
    <w:link w:val="904"/>
    <w:rPr>
      <w:rFonts w:ascii="Arial" w:hAnsi="Arial" w:cs="Arial"/>
      <w:b/>
      <w:bCs/>
      <w:lang w:val="ru-RU" w:eastAsia="ru-RU" w:bidi="ar-SA"/>
    </w:rPr>
  </w:style>
  <w:style w:type="paragraph" w:styleId="926">
    <w:name w:val="Знак1"/>
    <w:basedOn w:val="904"/>
    <w:next w:val="926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7">
    <w:name w:val="Heading"/>
    <w:next w:val="927"/>
    <w:link w:val="904"/>
    <w:pPr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28">
    <w:name w:val=" Знак"/>
    <w:basedOn w:val="904"/>
    <w:next w:val="928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9">
    <w:name w:val="ConsPlusNonformat"/>
    <w:next w:val="929"/>
    <w:link w:val="904"/>
    <w:rPr>
      <w:rFonts w:ascii="Courier New" w:hAnsi="Courier New" w:cs="Courier New"/>
      <w:lang w:val="ru-RU" w:eastAsia="ru-RU" w:bidi="ar-SA"/>
    </w:rPr>
  </w:style>
  <w:style w:type="paragraph" w:styleId="930">
    <w:name w:val="Знак1 Знак Знак Знак1"/>
    <w:basedOn w:val="904"/>
    <w:next w:val="930"/>
    <w:link w:val="9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931">
    <w:name w:val="Без интервала"/>
    <w:next w:val="931"/>
    <w:link w:val="904"/>
    <w:qFormat/>
    <w:rPr>
      <w:rFonts w:ascii="Calibri" w:hAnsi="Calibri" w:cs="Calibri"/>
      <w:sz w:val="22"/>
      <w:szCs w:val="22"/>
      <w:lang w:val="ru-RU" w:eastAsia="ru-RU" w:bidi="ar-SA"/>
    </w:rPr>
  </w:style>
  <w:style w:type="paragraph" w:styleId="932">
    <w:name w:val="Знак1 Знак Знак Знак Знак Знак Знак Знак Знак Знак"/>
    <w:basedOn w:val="904"/>
    <w:next w:val="932"/>
    <w:link w:val="9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933">
    <w:name w:val="Обычный (веб)2"/>
    <w:basedOn w:val="904"/>
    <w:next w:val="933"/>
    <w:link w:val="904"/>
    <w:pPr>
      <w:spacing w:before="100" w:beforeAutospacing="1" w:after="100" w:afterAutospacing="1"/>
    </w:pPr>
    <w:rPr>
      <w:rFonts w:eastAsia="PMingLiU"/>
      <w:color w:val="36555f"/>
      <w:lang w:eastAsia="zh-TW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BelovolovaTV</dc:creator>
  <cp:lastModifiedBy>IvanovaAP</cp:lastModifiedBy>
  <cp:revision>19</cp:revision>
  <dcterms:created xsi:type="dcterms:W3CDTF">2022-11-28T10:49:00Z</dcterms:created>
  <dcterms:modified xsi:type="dcterms:W3CDTF">2025-11-20T05:42:36Z</dcterms:modified>
  <cp:version>726502</cp:version>
</cp:coreProperties>
</file>