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ind w:left="283" w:right="0" w:firstLine="0"/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16"/>
          <w:szCs w:val="16"/>
          <w:highlight w:val="white"/>
        </w:rPr>
      </w:pPr>
      <w:r>
        <w:rPr>
          <w:rFonts w:eastAsia="Times New Roman"/>
          <w:sz w:val="16"/>
          <w:szCs w:val="16"/>
          <w:highlight w:val="white"/>
          <w:lang w:eastAsia="ru-RU"/>
        </w:rPr>
      </w:r>
      <w:r>
        <w:rPr>
          <w:rFonts w:eastAsia="Times New Roman"/>
          <w:sz w:val="16"/>
          <w:szCs w:val="16"/>
          <w:highlight w:val="white"/>
        </w:rPr>
      </w:r>
      <w:r>
        <w:rPr>
          <w:rFonts w:eastAsia="Times New Roman"/>
          <w:sz w:val="16"/>
          <w:szCs w:val="16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16"/>
          <w:szCs w:val="16"/>
          <w:highlight w:val="white"/>
        </w:rPr>
      </w:pPr>
      <w:r>
        <w:rPr>
          <w:rFonts w:eastAsia="Times New Roman"/>
          <w:b/>
          <w:sz w:val="16"/>
          <w:szCs w:val="16"/>
          <w:highlight w:val="white"/>
          <w:lang w:eastAsia="ru-RU"/>
        </w:rPr>
      </w:r>
      <w:r>
        <w:rPr>
          <w:rFonts w:eastAsia="Times New Roman"/>
          <w:b/>
          <w:sz w:val="16"/>
          <w:szCs w:val="16"/>
          <w:highlight w:val="white"/>
        </w:rPr>
      </w:r>
      <w:r>
        <w:rPr>
          <w:rFonts w:eastAsia="Times New Roman"/>
          <w:b/>
          <w:sz w:val="16"/>
          <w:szCs w:val="16"/>
          <w:highlight w:val="white"/>
        </w:rPr>
      </w:r>
    </w:p>
    <w:p>
      <w:pPr>
        <w:ind w:left="283" w:right="0" w:firstLine="0"/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16"/>
          <w:szCs w:val="16"/>
          <w:highlight w:val="white"/>
        </w:rPr>
      </w:pPr>
      <w:r>
        <w:rPr>
          <w:rFonts w:eastAsia="Times New Roman"/>
          <w:b/>
          <w:sz w:val="16"/>
          <w:szCs w:val="16"/>
          <w:highlight w:val="white"/>
          <w:lang w:eastAsia="ru-RU"/>
        </w:rPr>
      </w:r>
      <w:r>
        <w:rPr>
          <w:rFonts w:eastAsia="Times New Roman"/>
          <w:b/>
          <w:sz w:val="16"/>
          <w:szCs w:val="16"/>
          <w:highlight w:val="white"/>
        </w:rPr>
      </w:r>
      <w:r>
        <w:rPr>
          <w:rFonts w:eastAsia="Times New Roman"/>
          <w:b/>
          <w:sz w:val="16"/>
          <w:szCs w:val="16"/>
          <w:highlight w:val="white"/>
        </w:rPr>
      </w:r>
    </w:p>
    <w:p>
      <w:pPr>
        <w:pStyle w:val="693"/>
        <w:ind w:left="283" w:right="0" w:firstLine="0"/>
        <w:jc w:val="center"/>
        <w:spacing w:line="240" w:lineRule="auto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16"/>
          <w:szCs w:val="16"/>
          <w:highlight w:val="white"/>
        </w:rPr>
      </w:pPr>
      <w:r>
        <w:rPr>
          <w:rFonts w:ascii="Times New Roman" w:hAnsi="Times New Roman"/>
          <w:b/>
          <w:color w:val="000000"/>
          <w:sz w:val="16"/>
          <w:szCs w:val="16"/>
          <w:highlight w:val="white"/>
        </w:rPr>
      </w:r>
      <w:r>
        <w:rPr>
          <w:rFonts w:ascii="Times New Roman" w:hAnsi="Times New Roman"/>
          <w:b/>
          <w:color w:val="000000"/>
          <w:sz w:val="16"/>
          <w:szCs w:val="16"/>
          <w:highlight w:val="white"/>
        </w:rPr>
      </w:r>
      <w:r>
        <w:rPr>
          <w:rFonts w:ascii="Times New Roman" w:hAnsi="Times New Roman"/>
          <w:b/>
          <w:color w:val="000000"/>
          <w:sz w:val="16"/>
          <w:szCs w:val="16"/>
          <w:highlight w:val="white"/>
        </w:rPr>
      </w:r>
    </w:p>
    <w:p>
      <w:pPr>
        <w:pStyle w:val="693"/>
        <w:ind w:left="283" w:right="0" w:firstLine="0"/>
        <w:jc w:val="center"/>
        <w:spacing w:line="240" w:lineRule="auto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29 декабря 2025 года                                                                                                             № 914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3 декабря 2024 года № 8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25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0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транспортной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системы Белоярского района» (далее – Программа) к постановлению администрации Белоярского района от 3 декабря 2024 года № 825 «Об утверждении муниципальной программы Белоярского района «Развитие транспортной системы Белоярского района»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строку «</w:t>
      </w:r>
      <w:r>
        <w:rPr>
          <w:sz w:val="24"/>
          <w:szCs w:val="24"/>
          <w:highlight w:val="white"/>
        </w:rPr>
        <w:t xml:space="preserve">Куратор муниципальной программы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9782" w:type="dxa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530"/>
      </w:tblGrid>
      <w:tr>
        <w:tblPrEx/>
        <w:trPr>
          <w:trHeight w:val="356"/>
        </w:trPr>
        <w:tc>
          <w:tcPr>
            <w:tcBorders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left="283" w:right="0" w:firstLine="0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Куратор муниципальной программы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0" w:type="dxa"/>
            <w:vAlign w:val="center"/>
            <w:textDirection w:val="lrTb"/>
            <w:noWrap w:val="false"/>
          </w:tcPr>
          <w:p>
            <w:pPr>
              <w:pStyle w:val="691"/>
              <w:ind w:left="283" w:right="0"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Заместитель главы Белоя</w:t>
            </w:r>
            <w:r>
              <w:rPr>
                <w:rFonts w:ascii="Times New Roman" w:hAnsi="Times New Roman"/>
                <w:highlight w:val="white"/>
              </w:rPr>
              <w:t xml:space="preserve">рского района </w:t>
            </w:r>
            <w:r>
              <w:rPr>
                <w:sz w:val="24"/>
                <w:szCs w:val="24"/>
                <w:highlight w:val="white"/>
              </w:rPr>
              <w:t xml:space="preserve">Ващук В.А.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ind w:left="283" w:right="0" w:firstLine="0"/>
        <w:jc w:val="right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</w:t>
      </w:r>
      <w:r>
        <w:rPr>
          <w:sz w:val="24"/>
          <w:szCs w:val="24"/>
          <w:highlight w:val="white"/>
        </w:rPr>
        <w:t xml:space="preserve">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283" w:right="0" w:firstLine="0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9782" w:type="dxa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404"/>
      </w:tblGrid>
      <w:tr>
        <w:tblPrEx/>
        <w:trPr>
          <w:trHeight w:val="356"/>
        </w:trPr>
        <w:tc>
          <w:tcPr>
            <w:tcBorders>
              <w:right w:val="single" w:color="auto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ind w:left="283" w:right="0" w:firstLine="0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ind w:left="283" w:right="0" w:firstLine="0"/>
              <w:spacing w:after="0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1 270 510,2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тысяч</w:t>
            </w:r>
            <w:r>
              <w:rPr>
                <w:highlight w:val="white"/>
              </w:rPr>
              <w:t xml:space="preserve">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283" w:right="0" w:firstLine="0"/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283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0"/>
          <w:highlight w:val="none"/>
        </w:rPr>
      </w:r>
      <w:r>
        <w:rPr>
          <w:rFonts w:eastAsia="Times New Roman"/>
          <w:sz w:val="24"/>
          <w:szCs w:val="20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left="283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  <w:sectPr>
          <w:footnotePr/>
          <w:endnotePr/>
          <w:type w:val="nextPage"/>
          <w:pgSz w:w="11906" w:h="16838" w:orient="portrait"/>
          <w:pgMar w:top="578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none"/>
        </w:rPr>
      </w:r>
      <w:r>
        <w:rPr>
          <w:rFonts w:eastAsia="Times New Roman"/>
          <w:sz w:val="24"/>
          <w:szCs w:val="20"/>
          <w:highlight w:val="non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 Белоярского района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29 декабря 2025 года № 914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470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967"/>
        <w:gridCol w:w="967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Муниципальная программа «Развитие транспортной системы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361 675,3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291 130,6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243 637,3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1 270 510,2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37 773,0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59 560,5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113 357,1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367 329,9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198 915,8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140 000,5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130 636,5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843 619,8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справочно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2 634,6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Региональный проект «Государственная поддержка реализации на территории Арктической зоны Российской Федерации инвестиционных проектов»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170 179,4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154 036,6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324 216,0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37 773,0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59 560,5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110 450,4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251 422,4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7 419,9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5 813,2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13 233,1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3 659,8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118 948,3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133 125,3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2 906,7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115 907,5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753,1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5 947,5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17 217,8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«Строительство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«Капитальный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3 659,8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118 948,3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131 054,9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2 906,7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115 907,5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753,1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5 947,5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15 147,4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«Ремонт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100 991,8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51 455,6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312 507,4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100 991,8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51 455,6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312 507,4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) ,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55 481,5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6 502,5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163 566,4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55 481,5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6 502,5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163 566,4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результат «Организация регулярных перевозок пассажиров и багажа автомобильным транспортом»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31 517,2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41 573,5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91 546,7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бюджет Белоярского района</w:t>
            </w:r>
            <w:bookmarkStart w:id="0" w:name="_GoBack"/>
            <w:r>
              <w:rPr>
                <w:color w:val="000000" w:themeColor="text1"/>
                <w:highlight w:val="none"/>
              </w:rPr>
            </w:r>
            <w:bookmarkEnd w:id="0"/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31 517,2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41 573,5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91 546,7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результат «Организация регулярных перевозок пассажиров и багажа водным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),  в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11 281,0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100,0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40 554,2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11 281,0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100,0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non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40 554,2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3 279,6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16 840,1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3 279,6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16 840,1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887"/>
        <w:jc w:val="right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720" w:bottom="720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1"/>
    <w:link w:val="715"/>
    <w:uiPriority w:val="10"/>
    <w:rPr>
      <w:sz w:val="48"/>
      <w:szCs w:val="48"/>
    </w:rPr>
  </w:style>
  <w:style w:type="character" w:styleId="685">
    <w:name w:val="Subtitle Char"/>
    <w:basedOn w:val="701"/>
    <w:link w:val="717"/>
    <w:uiPriority w:val="11"/>
    <w:rPr>
      <w:sz w:val="24"/>
      <w:szCs w:val="24"/>
    </w:rPr>
  </w:style>
  <w:style w:type="character" w:styleId="686">
    <w:name w:val="Quote Char"/>
    <w:link w:val="719"/>
    <w:uiPriority w:val="29"/>
    <w:rPr>
      <w:i/>
    </w:rPr>
  </w:style>
  <w:style w:type="character" w:styleId="687">
    <w:name w:val="Intense Quote Char"/>
    <w:link w:val="721"/>
    <w:uiPriority w:val="30"/>
    <w:rPr>
      <w:i/>
    </w:rPr>
  </w:style>
  <w:style w:type="character" w:styleId="688">
    <w:name w:val="Caption Char"/>
    <w:basedOn w:val="701"/>
    <w:link w:val="727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6"/>
    <w:uiPriority w:val="99"/>
    <w:rPr>
      <w:sz w:val="18"/>
    </w:rPr>
  </w:style>
  <w:style w:type="character" w:styleId="690">
    <w:name w:val="Endnote Text Char"/>
    <w:link w:val="859"/>
    <w:uiPriority w:val="99"/>
    <w:rPr>
      <w:sz w:val="20"/>
    </w:rPr>
  </w:style>
  <w:style w:type="paragraph" w:styleId="6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2">
    <w:name w:val="Heading 1"/>
    <w:basedOn w:val="691"/>
    <w:next w:val="691"/>
    <w:link w:val="87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3">
    <w:name w:val="Heading 2"/>
    <w:basedOn w:val="691"/>
    <w:next w:val="691"/>
    <w:link w:val="87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4">
    <w:name w:val="Heading 3"/>
    <w:basedOn w:val="691"/>
    <w:next w:val="691"/>
    <w:link w:val="87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rPr>
      <w:sz w:val="22"/>
      <w:szCs w:val="22"/>
      <w:lang w:eastAsia="en-US"/>
    </w:rPr>
  </w:style>
  <w:style w:type="paragraph" w:styleId="715">
    <w:name w:val="Title"/>
    <w:basedOn w:val="691"/>
    <w:next w:val="691"/>
    <w:link w:val="716"/>
    <w:uiPriority w:val="10"/>
    <w:qFormat/>
    <w:pPr>
      <w:contextualSpacing/>
      <w:spacing w:before="300"/>
    </w:pPr>
    <w:rPr>
      <w:sz w:val="48"/>
      <w:szCs w:val="48"/>
    </w:rPr>
  </w:style>
  <w:style w:type="character" w:styleId="716" w:customStyle="1">
    <w:name w:val="Заголовок Знак"/>
    <w:link w:val="715"/>
    <w:uiPriority w:val="10"/>
    <w:rPr>
      <w:sz w:val="48"/>
      <w:szCs w:val="48"/>
    </w:rPr>
  </w:style>
  <w:style w:type="paragraph" w:styleId="717">
    <w:name w:val="Subtitle"/>
    <w:basedOn w:val="691"/>
    <w:next w:val="691"/>
    <w:link w:val="718"/>
    <w:uiPriority w:val="11"/>
    <w:qFormat/>
    <w:pPr>
      <w:spacing w:before="200"/>
    </w:pPr>
    <w:rPr>
      <w:sz w:val="24"/>
      <w:szCs w:val="24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91"/>
    <w:next w:val="691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1"/>
    <w:next w:val="691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1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Header Char"/>
    <w:uiPriority w:val="99"/>
  </w:style>
  <w:style w:type="paragraph" w:styleId="725">
    <w:name w:val="Footer"/>
    <w:basedOn w:val="691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6" w:customStyle="1">
    <w:name w:val="Footer Char"/>
    <w:uiPriority w:val="99"/>
  </w:style>
  <w:style w:type="paragraph" w:styleId="727">
    <w:name w:val="Caption"/>
    <w:basedOn w:val="691"/>
    <w:next w:val="691"/>
    <w:link w:val="72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Название объекта Знак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1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91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1"/>
    <w:next w:val="691"/>
    <w:uiPriority w:val="39"/>
    <w:unhideWhenUsed/>
    <w:pPr>
      <w:spacing w:after="57"/>
    </w:pPr>
  </w:style>
  <w:style w:type="paragraph" w:styleId="863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4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5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6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7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8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9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0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1"/>
    <w:next w:val="691"/>
    <w:uiPriority w:val="99"/>
    <w:unhideWhenUsed/>
    <w:pPr>
      <w:spacing w:after="0"/>
    </w:pPr>
  </w:style>
  <w:style w:type="character" w:styleId="873" w:customStyle="1">
    <w:name w:val="Заголовок 1 Знак"/>
    <w:link w:val="692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4" w:customStyle="1">
    <w:name w:val="Заголовок 2 Знак"/>
    <w:link w:val="693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5" w:customStyle="1">
    <w:name w:val="Заголовок 3 Знак"/>
    <w:link w:val="694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6">
    <w:name w:val="annotation reference"/>
    <w:uiPriority w:val="99"/>
    <w:unhideWhenUsed/>
    <w:rPr>
      <w:sz w:val="16"/>
      <w:szCs w:val="16"/>
    </w:rPr>
  </w:style>
  <w:style w:type="paragraph" w:styleId="877">
    <w:name w:val="Balloon Text"/>
    <w:basedOn w:val="691"/>
    <w:link w:val="878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>
    <w:name w:val="Body Text Indent 3"/>
    <w:basedOn w:val="691"/>
    <w:link w:val="880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0" w:customStyle="1">
    <w:name w:val="Основной текст с отступом 3 Знак"/>
    <w:link w:val="879"/>
    <w:rPr>
      <w:rFonts w:eastAsia="Times New Roman"/>
      <w:sz w:val="24"/>
    </w:rPr>
  </w:style>
  <w:style w:type="paragraph" w:styleId="881">
    <w:name w:val="annotation text"/>
    <w:basedOn w:val="691"/>
    <w:link w:val="882"/>
    <w:uiPriority w:val="99"/>
    <w:unhideWhenUsed/>
    <w:pPr>
      <w:spacing w:line="240" w:lineRule="auto"/>
    </w:pPr>
    <w:rPr>
      <w:sz w:val="20"/>
      <w:szCs w:val="20"/>
    </w:rPr>
  </w:style>
  <w:style w:type="character" w:styleId="882" w:customStyle="1">
    <w:name w:val="Текст примечания Знак"/>
    <w:link w:val="881"/>
    <w:uiPriority w:val="99"/>
    <w:semiHidden/>
    <w:rPr>
      <w:sz w:val="20"/>
      <w:szCs w:val="20"/>
    </w:rPr>
  </w:style>
  <w:style w:type="paragraph" w:styleId="883">
    <w:name w:val="annotation subject"/>
    <w:basedOn w:val="881"/>
    <w:next w:val="881"/>
    <w:link w:val="884"/>
    <w:uiPriority w:val="99"/>
    <w:unhideWhenUsed/>
    <w:rPr>
      <w:b/>
      <w:bCs/>
    </w:rPr>
  </w:style>
  <w:style w:type="character" w:styleId="884" w:customStyle="1">
    <w:name w:val="Тема примечания Знак"/>
    <w:link w:val="883"/>
    <w:uiPriority w:val="99"/>
    <w:semiHidden/>
    <w:rPr>
      <w:b/>
      <w:bCs/>
      <w:sz w:val="20"/>
      <w:szCs w:val="20"/>
    </w:rPr>
  </w:style>
  <w:style w:type="character" w:styleId="885" w:customStyle="1">
    <w:name w:val="Верхний колонтитул Знак"/>
    <w:link w:val="723"/>
    <w:uiPriority w:val="99"/>
    <w:rPr>
      <w:sz w:val="22"/>
      <w:szCs w:val="22"/>
      <w:lang w:eastAsia="en-US"/>
    </w:rPr>
  </w:style>
  <w:style w:type="character" w:styleId="886" w:customStyle="1">
    <w:name w:val="Нижний колонтитул Знак"/>
    <w:link w:val="725"/>
    <w:uiPriority w:val="99"/>
    <w:rPr>
      <w:sz w:val="22"/>
      <w:szCs w:val="22"/>
      <w:lang w:eastAsia="en-US"/>
    </w:rPr>
  </w:style>
  <w:style w:type="paragraph" w:styleId="887" w:customStyle="1">
    <w:name w:val="Обычный (веб)"/>
    <w:basedOn w:val="691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8" w:customStyle="1">
    <w:name w:val="ConsPlusNormal"/>
    <w:link w:val="889"/>
    <w:qFormat/>
    <w:pPr>
      <w:widowControl w:val="off"/>
    </w:pPr>
    <w:rPr>
      <w:rFonts w:ascii="Arial" w:hAnsi="Arial" w:eastAsia="Times New Roman" w:cs="Arial"/>
    </w:rPr>
  </w:style>
  <w:style w:type="character" w:styleId="889" w:customStyle="1">
    <w:name w:val="ConsPlusNormal Знак"/>
    <w:link w:val="888"/>
    <w:rPr>
      <w:rFonts w:ascii="Arial" w:hAnsi="Arial" w:eastAsia="Times New Roman" w:cs="Arial"/>
    </w:rPr>
  </w:style>
  <w:style w:type="paragraph" w:styleId="890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91">
    <w:name w:val="Revision"/>
    <w:uiPriority w:val="99"/>
    <w:semiHidden/>
    <w:rPr>
      <w:sz w:val="22"/>
      <w:szCs w:val="22"/>
      <w:lang w:eastAsia="en-US"/>
    </w:rPr>
  </w:style>
  <w:style w:type="character" w:styleId="892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3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4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5" w:customStyle="1">
    <w:name w:val="font31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10</cp:revision>
  <dcterms:created xsi:type="dcterms:W3CDTF">2025-10-15T09:06:00Z</dcterms:created>
  <dcterms:modified xsi:type="dcterms:W3CDTF">2025-12-29T03:59:04Z</dcterms:modified>
</cp:coreProperties>
</file>