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567"/>
        <w:rPr>
          <w:rFonts w:ascii="Arimo" w:hAnsi="Arimo"/>
          <w:b/>
          <w:bCs/>
          <w:i w:val="false"/>
          <w:caps w:val="false"/>
          <w:smallCaps w:val="false"/>
          <w:color w:val="3D4146"/>
          <w:spacing w:val="0"/>
          <w:sz w:val="28"/>
          <w:szCs w:val="28"/>
        </w:rPr>
      </w:pPr>
      <w:r>
        <w:rPr>
          <w:rFonts w:ascii="Arimo" w:hAnsi="Arimo"/>
          <w:b/>
          <w:bCs/>
          <w:i w:val="false"/>
          <w:caps w:val="false"/>
          <w:smallCaps w:val="false"/>
          <w:color w:val="3D4146"/>
          <w:spacing w:val="0"/>
          <w:sz w:val="28"/>
          <w:szCs w:val="28"/>
        </w:rPr>
        <w:t>Признаки неиспользования приусадебных, садовых или огородных земельных участков</w:t>
      </w:r>
    </w:p>
    <w:p>
      <w:pPr>
        <w:pStyle w:val="NoSpacing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pBdr/>
        <w:suppressAutoHyphens w:val="true"/>
        <w:bidi w:val="0"/>
        <w:spacing w:beforeAutospacing="0" w:before="0" w:afterAutospacing="0" w:after="0"/>
        <w:ind w:hanging="0" w:left="0" w:right="0"/>
        <w:jc w:val="both"/>
        <w:rPr>
          <w:rFonts w:ascii="Arimo" w:hAnsi="Arimo" w:eastAsia="Times New Roman" w:cs="Times New Roman"/>
          <w:b w:val="false"/>
          <w:i w:val="false"/>
          <w:caps w:val="false"/>
          <w:smallCaps w:val="false"/>
          <w:color w:val="292C2F"/>
          <w:spacing w:val="0"/>
          <w:kern w:val="0"/>
          <w:sz w:val="21"/>
          <w:szCs w:val="22"/>
          <w:lang w:val="ru-RU" w:eastAsia="ru-RU" w:bidi="ar-SA"/>
        </w:rPr>
      </w:pPr>
      <w:r>
        <w:rPr>
          <w:rFonts w:eastAsia="Times New Roman" w:cs="Times New Roman" w:ascii="Arimo" w:hAnsi="Arimo"/>
          <w:b w:val="false"/>
          <w:i w:val="false"/>
          <w:caps w:val="false"/>
          <w:smallCaps w:val="false"/>
          <w:color w:val="292C2F"/>
          <w:spacing w:val="0"/>
          <w:kern w:val="0"/>
          <w:sz w:val="21"/>
          <w:szCs w:val="22"/>
          <w:lang w:val="ru-RU" w:eastAsia="ru-RU" w:bidi="ar-SA"/>
        </w:rPr>
        <w:t>Отвечаем на вопрос, поступивший в адрес Управления Росреестра по ХМАО - Югре, о мерах ответственности за неиспользование земельного участка для ведения садоводства и огородничества,  в связи с отсутствием на участке дома.</w:t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</w:rPr>
      </w:pPr>
      <w:r>
        <w:rPr>
          <w:rFonts w:ascii="Arimo" w:hAnsi="Arimo"/>
        </w:rPr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</w:pP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С 1 сентября 2025 года вступило в силу Постановление Правительства РФ от 31.05.2025 года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участков», которым утвержден перечень признаков неиспользования земельных участков из состава земель населенных пунктов, садовых и огородных участков.</w:t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</w:rPr>
      </w:pPr>
      <w:r>
        <w:rPr>
          <w:rFonts w:ascii="Arimo" w:hAnsi="Arimo"/>
        </w:rPr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</w:pP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Указанным нормативным актом установлено, что признаками неиспользования приусадебных, садовых или огородных земельных участков, правовой режим которых не предусматривает строительство и эксплуатацию зданий, сооружений, является наличие хотя бы одного из признаков: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0"/>
        <w:ind w:hanging="0" w:left="0" w:right="0"/>
        <w:jc w:val="both"/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</w:pP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захламление или загрязнение отходами более 50% площади участка;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before="0" w:after="0"/>
        <w:ind w:hanging="0" w:left="0" w:right="0"/>
        <w:jc w:val="both"/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</w:pP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зарастание более 50% площади участка сорными растениями высотой более 1 метра, деревьями, кустарниками, которые не являются предметами благоустройства и озеленения.</w:t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  <w:i/>
        </w:rPr>
      </w:pPr>
      <w:r>
        <w:rPr>
          <w:rFonts w:ascii="Arimo" w:hAnsi="Arimo"/>
          <w:i/>
        </w:rPr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</w:pPr>
      <w:r>
        <w:rPr>
          <w:rFonts w:ascii="Arimo" w:hAnsi="Arimo"/>
          <w:b w:val="false"/>
          <w:i/>
          <w:caps w:val="false"/>
          <w:smallCaps w:val="false"/>
          <w:color w:val="292C2F"/>
          <w:spacing w:val="0"/>
          <w:sz w:val="21"/>
        </w:rPr>
        <w:t>«Правовой режим земель, предназначенных для ведения садоводства и огородничества не предусматривает обязанность правообладателей таких земель осуществлять на них строительство жилых или садовых домов, это право собственника участка. В связи с чем, основания для привлечения собственника земельного участка, предназначенного для ведения садоводства и огородничества, к ответственности за отсутствие на таком участке жилого или садового дома, отсутствуют»,</w:t>
      </w: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 - пояснила </w:t>
      </w:r>
      <w:r>
        <w:rPr>
          <w:rFonts w:ascii="Arimo" w:hAnsi="Arimo"/>
          <w:b/>
          <w:i w:val="false"/>
          <w:caps w:val="false"/>
          <w:smallCaps w:val="false"/>
          <w:color w:val="292C2F"/>
          <w:spacing w:val="0"/>
          <w:sz w:val="21"/>
        </w:rPr>
        <w:t>Эльвира Аглямова</w:t>
      </w: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 начальник Когалымского отдела Управления Росреестра по ХМАО — Югре.</w:t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</w:rPr>
      </w:pPr>
      <w:r>
        <w:rPr>
          <w:rFonts w:ascii="Arimo" w:hAnsi="Arimo"/>
        </w:rPr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</w:pP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Дополнительно сообщаем, что в случае наличия одного из признаков неиспользования земельного участка привлечение к ответственности возможно только после истечения 3-летнего срока, предоставляемого собственнику на освоение земельного участка: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pacing w:before="0" w:after="0"/>
        <w:ind w:hanging="0" w:left="0" w:right="0"/>
        <w:jc w:val="both"/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</w:pP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для участков, право собственности на которые зарегистрировано до 01.03.2025 года, - с 01.03.2025 года;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pacing w:before="0" w:after="0"/>
        <w:ind w:hanging="0" w:left="0" w:right="0"/>
        <w:jc w:val="both"/>
        <w:rPr>
          <w:rFonts w:ascii="Arimo" w:hAnsi="Arimo"/>
        </w:rPr>
      </w:pPr>
      <w:r>
        <w:rPr>
          <w:rFonts w:ascii="Arimo" w:hAnsi="Arimo"/>
          <w:b w:val="false"/>
          <w:i w:val="false"/>
          <w:caps w:val="false"/>
          <w:smallCaps w:val="false"/>
          <w:color w:val="292C2F"/>
          <w:spacing w:val="0"/>
          <w:sz w:val="21"/>
        </w:rPr>
        <w:t>для участков, право собственности на которые возникло после 01.03.2025 года, – с момента регистрации права собственности.</w:t>
      </w:r>
    </w:p>
    <w:p>
      <w:pPr>
        <w:pStyle w:val="BodyText"/>
        <w:widowControl/>
        <w:pBdr/>
        <w:spacing w:before="0" w:after="0"/>
        <w:ind w:hanging="0" w:left="0" w:right="0"/>
        <w:jc w:val="both"/>
        <w:rPr>
          <w:rFonts w:ascii="Arimo" w:hAnsi="Arimo"/>
        </w:rPr>
      </w:pPr>
      <w:r>
        <w:rPr>
          <w:rFonts w:ascii="Arimo" w:hAnsi="Arimo"/>
        </w:rPr>
      </w:r>
    </w:p>
    <w:p>
      <w:pPr>
        <w:pStyle w:val="IntenseQuote"/>
        <w:spacing w:before="0" w:after="0"/>
        <w:ind w:left="0" w:right="936"/>
        <w:rPr>
          <w:rFonts w:ascii="PT Astra Serif" w:hAnsi="PT Astra Serif" w:cs="PT Astra Serif"/>
          <w:b w:val="false"/>
          <w:i w:val="false"/>
          <w:i w:val="false"/>
          <w:color w:val="auto"/>
          <w:sz w:val="20"/>
          <w:szCs w:val="20"/>
        </w:rPr>
      </w:pPr>
      <w:r>
        <w:rPr>
          <w:rFonts w:cs="PT Astra Serif" w:ascii="PT Astra Serif" w:hAnsi="PT Astra Serif"/>
          <w:b w:val="false"/>
          <w:i w:val="false"/>
          <w:color w:val="auto"/>
          <w:sz w:val="20"/>
          <w:szCs w:val="20"/>
        </w:rPr>
      </w:r>
    </w:p>
    <w:p>
      <w:pPr>
        <w:pStyle w:val="Normal"/>
        <w:spacing w:before="0" w:after="0"/>
        <w:rPr>
          <w:rFonts w:ascii="PT Astra Serif" w:hAnsi="PT Astra Serif" w:cs="PT Astra Serif"/>
          <w:sz w:val="20"/>
          <w:szCs w:val="20"/>
        </w:rPr>
      </w:pPr>
      <w:r>
        <w:rPr>
          <w:rFonts w:eastAsia="PT Astra Serif" w:cs="PT Astra Serif" w:ascii="PT Astra Serif" w:hAnsi="PT Astra Serif"/>
          <w:sz w:val="20"/>
          <w:szCs w:val="20"/>
          <w:lang w:eastAsia="ru-RU"/>
        </w:rPr>
        <w:t xml:space="preserve">Пресс-служба Управления Росреестра по Ханты-Мансийскому автономному округу – Югре     </w:t>
      </w:r>
    </w:p>
    <w:p>
      <w:pPr>
        <w:pStyle w:val="Normal"/>
        <w:spacing w:before="0" w:after="0"/>
        <w:rPr>
          <w:rFonts w:ascii="PT Astra Serif" w:hAnsi="PT Astra Serif" w:cs="PT Astra Serif"/>
          <w:sz w:val="20"/>
          <w:szCs w:val="20"/>
        </w:rPr>
      </w:pPr>
      <w:r>
        <w:rPr>
          <w:rFonts w:eastAsia="PT Astra Serif" w:cs="PT Astra Serif" w:ascii="PT Astra Serif" w:hAnsi="PT Astra Serif"/>
          <w:sz w:val="20"/>
          <w:szCs w:val="20"/>
          <w:lang w:eastAsia="ru-RU"/>
        </w:rPr>
        <w:t>+7 (3467) 930-755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709" w:top="766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Arimo">
    <w:altName w:val="arial"/>
    <w:charset w:val="01"/>
    <w:family w:val="swiss"/>
    <w:pitch w:val="variable"/>
  </w:font>
  <w:font w:name="PT Astra Serif">
    <w:charset w:val="01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Calibri" w:hAnsi="Calibri" w:eastAsia="Times New Roman" w:cs="Times New Roman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Calibri" w:hAnsi="Calibri" w:eastAsia="Times New Roman" w:cs="Times New Roman"/>
      <w:lang w:eastAsia="ru-RU"/>
    </w:rPr>
  </w:style>
  <w:style w:type="character" w:styleId="Style10" w:customStyle="1">
    <w:name w:val="Без интервала Знак"/>
    <w:uiPriority w:val="1"/>
    <w:qFormat/>
    <w:rPr>
      <w:rFonts w:ascii="Calibri" w:hAnsi="Calibri" w:eastAsia="Times New Roman" w:cs="Times New Roman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ascii="Calibri" w:hAnsi="Calibri" w:eastAsia="Calibri" w:cs="Arial" w:asciiTheme="minorHAnsi" w:cstheme="minorBidi" w:eastAsiaTheme="minorHAnsi" w:hAnsiTheme="minorHAnsi"/>
      <w:lang w:eastAsia="en-US"/>
    </w:rPr>
  </w:style>
  <w:style w:type="numbering" w:styleId="Style14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LibreOffice/24.8.4.2$Linux_X86_64 LibreOffice_project/480$Build-2</Application>
  <AppVersion>15.0000</AppVersion>
  <Pages>1</Pages>
  <Words>286</Words>
  <Characters>2028</Characters>
  <CharactersWithSpaces>2306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2024-07-02T11:42:00Z</dcterms:created>
  <dc:creator>KoldenbergNV</dc:creator>
  <dc:description/>
  <dc:language>ru-RU</dc:language>
  <cp:lastModifiedBy>Наталья Сергеевна Глуховская</cp:lastModifiedBy>
  <dcterms:modified xsi:type="dcterms:W3CDTF">2026-02-11T14:30:21Z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