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spacing w:after="0" w:line="240" w:lineRule="auto"/>
        <w:rPr>
          <w:rFonts w:ascii="Times New Roman" w:hAnsi="Times New Roman" w:eastAsia="Batang"/>
          <w:b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389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Batang"/>
          <w:b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jc w:val="center"/>
        <w:keepNext/>
        <w:spacing w:after="0" w:line="240" w:lineRule="auto"/>
        <w:rPr>
          <w:rFonts w:ascii="Times New Roman" w:hAnsi="Times New Roman" w:eastAsia="Times New Roman"/>
          <w:b/>
          <w:lang w:eastAsia="ru-RU"/>
        </w:rPr>
        <w:outlineLvl w:val="1"/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50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50"/>
        <w:jc w:val="right"/>
        <w:spacing w:after="0" w:line="240" w:lineRule="auto"/>
        <w:rPr>
          <w:rFonts w:ascii="Times New Roman" w:hAnsi="Times New Roman" w:eastAsia="Batang"/>
          <w:b/>
          <w:sz w:val="28"/>
          <w:szCs w:val="28"/>
          <w:lang w:eastAsia="ko-KR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Batang"/>
          <w:b/>
          <w:sz w:val="28"/>
          <w:szCs w:val="28"/>
          <w:lang w:eastAsia="ko-KR"/>
        </w:rPr>
      </w:r>
      <w:r>
        <w:rPr>
          <w:rFonts w:ascii="Times New Roman" w:hAnsi="Times New Roman" w:eastAsia="Batang"/>
          <w:b/>
          <w:sz w:val="28"/>
          <w:szCs w:val="28"/>
          <w:lang w:eastAsia="ko-KR"/>
        </w:rPr>
      </w:r>
    </w:p>
    <w:p>
      <w:pPr>
        <w:pStyle w:val="850"/>
        <w:ind w:firstLine="708"/>
        <w:jc w:val="both"/>
        <w:spacing w:after="0" w:line="240" w:lineRule="auto"/>
        <w:rPr>
          <w:rFonts w:ascii="Times New Roman" w:hAnsi="Times New Roman" w:eastAsia="Batang"/>
          <w:sz w:val="16"/>
          <w:szCs w:val="24"/>
          <w:lang w:eastAsia="ko-KR"/>
        </w:rPr>
      </w:pPr>
      <w:r>
        <w:rPr>
          <w:rFonts w:ascii="Times New Roman" w:hAnsi="Times New Roman" w:eastAsia="Batang"/>
          <w:sz w:val="16"/>
          <w:szCs w:val="24"/>
          <w:lang w:eastAsia="ko-KR"/>
        </w:rPr>
      </w:r>
      <w:r>
        <w:rPr>
          <w:rFonts w:ascii="Times New Roman" w:hAnsi="Times New Roman" w:eastAsia="Batang"/>
          <w:sz w:val="16"/>
          <w:szCs w:val="24"/>
          <w:lang w:eastAsia="ko-KR"/>
        </w:rPr>
      </w:r>
      <w:r>
        <w:rPr>
          <w:rFonts w:ascii="Times New Roman" w:hAnsi="Times New Roman" w:eastAsia="Batang"/>
          <w:sz w:val="16"/>
          <w:szCs w:val="24"/>
          <w:lang w:eastAsia="ko-KR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от            2025 года                                                                                                        № </w:t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Batang"/>
          <w:b/>
          <w:bCs/>
          <w:sz w:val="24"/>
          <w:szCs w:val="24"/>
          <w:lang w:eastAsia="ko-KR"/>
        </w:rPr>
      </w:pP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Batang"/>
          <w:b/>
          <w:bCs/>
          <w:sz w:val="24"/>
          <w:szCs w:val="24"/>
          <w:lang w:eastAsia="ko-KR"/>
        </w:rPr>
      </w:pP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Batang"/>
          <w:b/>
          <w:bCs/>
          <w:sz w:val="24"/>
          <w:szCs w:val="24"/>
          <w:lang w:eastAsia="ko-KR"/>
        </w:rPr>
      </w:pP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 внесении изменений в постановление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847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50"/>
        <w:ind w:firstLine="54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firstLine="54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69"/>
        <w:ind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основании постановления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  п о с т а н о в л я ю: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69"/>
        <w:ind w:firstLine="66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ko-KR"/>
        </w:rPr>
        <w:t xml:space="preserve">1. </w:t>
      </w:r>
      <w:r>
        <w:rPr>
          <w:rFonts w:ascii="Times New Roman" w:hAnsi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имуществом Белоярского района» (далее – муниципальная программа) к постановлению </w:t>
      </w:r>
      <w:r>
        <w:rPr>
          <w:rFonts w:ascii="Times New Roman" w:hAnsi="Times New Roman"/>
          <w:sz w:val="24"/>
          <w:szCs w:val="24"/>
        </w:rPr>
        <w:t xml:space="preserve">администрации Белоярского района от </w:t>
      </w:r>
      <w:r>
        <w:rPr>
          <w:rFonts w:ascii="Times New Roman" w:hAnsi="Times New Roman"/>
          <w:sz w:val="24"/>
          <w:szCs w:val="24"/>
          <w:lang w:eastAsia="ru-RU"/>
        </w:rPr>
        <w:t xml:space="preserve">5 декабря 2024 года № 847</w:t>
      </w:r>
      <w:r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имуществом Белоярского района»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следующие изменения: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zh-CN" w:bidi="ar"/>
        </w:rPr>
        <w:t xml:space="preserve">1) строку «Объемы финансового обеспечения за весь период реализации»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имуществом Белоярского района»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(далее – Паспорт муниципальной программы) изложить в следующей редакции: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4996" w:type="pct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18"/>
        <w:gridCol w:w="2440"/>
        <w:gridCol w:w="2631"/>
      </w:tblGrid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2461" w:type="dxa"/>
            <w:vAlign w:val="bottom"/>
            <w:textDirection w:val="lrTb"/>
            <w:noWrap/>
          </w:tcPr>
          <w:p>
            <w:pPr>
              <w:pStyle w:val="8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none" w:color="000000" w:sz="4" w:space="0"/>
            </w:tcBorders>
            <w:tcW w:w="1221" w:type="dxa"/>
            <w:vAlign w:val="bottom"/>
            <w:textDirection w:val="lrTb"/>
            <w:noWrap/>
          </w:tcPr>
          <w:p>
            <w:pPr>
              <w:pStyle w:val="8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 w:bidi="ar"/>
              </w:rPr>
              <w:t xml:space="preserve">269 555,8 т</w:t>
            </w:r>
            <w:r>
              <w:rPr>
                <w:rFonts w:ascii="Times New Roman" w:hAnsi="Times New Roman"/>
                <w:lang w:val="en-US" w:eastAsia="zh-CN" w:bidi="ar"/>
              </w:rPr>
              <w:t xml:space="preserve">ыс</w:t>
            </w:r>
            <w:r>
              <w:rPr>
                <w:rFonts w:ascii="Times New Roman" w:hAnsi="Times New Roman"/>
                <w:lang w:eastAsia="zh-CN" w:bidi="ar"/>
              </w:rPr>
              <w:t xml:space="preserve">.</w:t>
            </w:r>
            <w:r>
              <w:rPr>
                <w:rFonts w:ascii="Times New Roman" w:hAnsi="Times New Roman"/>
                <w:lang w:val="en-US" w:eastAsia="zh-CN" w:bidi="ar"/>
              </w:rPr>
              <w:t xml:space="preserve"> рублей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4" w:space="0"/>
            </w:tcBorders>
            <w:tcW w:w="1317" w:type="dxa"/>
            <w:vAlign w:val="bottom"/>
            <w:textDirection w:val="lrTb"/>
            <w:noWrap/>
          </w:tcPr>
          <w:p>
            <w:pPr>
              <w:pStyle w:val="8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850"/>
        <w:ind w:firstLine="709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firstLine="660"/>
        <w:jc w:val="both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Batang"/>
          <w:bCs/>
          <w:sz w:val="24"/>
          <w:szCs w:val="24"/>
          <w:lang w:eastAsia="ko-KR"/>
        </w:rPr>
        <w:t xml:space="preserve">2) раздел 4 «</w:t>
      </w:r>
      <w:r>
        <w:rPr>
          <w:rFonts w:ascii="Times New Roman" w:hAnsi="Times New Roman"/>
          <w:sz w:val="24"/>
          <w:szCs w:val="24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 Паспорта муниципальной программы изложить в редакции согласно приложению 1 к настоящему постановлению.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6"/>
        <w:ind w:firstLine="567"/>
        <w:jc w:val="both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заместителя главы Белоярского района Гайворонского А.В.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firstLine="709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ru-RU"/>
        </w:rPr>
      </w:pPr>
      <w:r>
        <w:rPr>
          <w:rFonts w:ascii="Times New Roman" w:hAnsi="Times New Roman" w:eastAsia="Batang"/>
          <w:sz w:val="24"/>
          <w:szCs w:val="24"/>
          <w:lang w:eastAsia="ru-RU"/>
        </w:rPr>
      </w:r>
      <w:r>
        <w:rPr>
          <w:rFonts w:ascii="Times New Roman" w:hAnsi="Times New Roman" w:eastAsia="Batang"/>
          <w:sz w:val="24"/>
          <w:szCs w:val="24"/>
          <w:lang w:eastAsia="ru-RU"/>
        </w:rPr>
      </w:r>
      <w:r>
        <w:rPr>
          <w:rFonts w:ascii="Times New Roman" w:hAnsi="Times New Roman" w:eastAsia="Batang"/>
          <w:sz w:val="24"/>
          <w:szCs w:val="24"/>
          <w:lang w:eastAsia="ru-RU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ru-RU"/>
        </w:rPr>
      </w:pPr>
      <w:r>
        <w:rPr>
          <w:rFonts w:ascii="Times New Roman" w:hAnsi="Times New Roman" w:eastAsia="Batang"/>
          <w:sz w:val="24"/>
          <w:szCs w:val="24"/>
          <w:lang w:eastAsia="ru-RU"/>
        </w:rPr>
      </w:r>
      <w:r>
        <w:rPr>
          <w:rFonts w:ascii="Times New Roman" w:hAnsi="Times New Roman" w:eastAsia="Batang"/>
          <w:sz w:val="24"/>
          <w:szCs w:val="24"/>
          <w:lang w:eastAsia="ru-RU"/>
        </w:rPr>
      </w:r>
      <w:r>
        <w:rPr>
          <w:rFonts w:ascii="Times New Roman" w:hAnsi="Times New Roman" w:eastAsia="Batang"/>
          <w:sz w:val="24"/>
          <w:szCs w:val="24"/>
          <w:lang w:eastAsia="ru-RU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Глава Белоярского района                                                                                             С.П.Маненков</w:t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firstLine="660"/>
        <w:rPr>
          <w:rFonts w:ascii="Times New Roman" w:hAnsi="Times New Roman" w:eastAsia="Times New Roman"/>
          <w:sz w:val="24"/>
          <w:szCs w:val="24"/>
        </w:rPr>
        <w:sectPr>
          <w:headerReference w:type="default" r:id="rId8"/>
          <w:footnotePr/>
          <w:endnotePr/>
          <w:type w:val="nextPage"/>
          <w:pgSz w:w="11906" w:h="16838" w:orient="portrait"/>
          <w:pgMar w:top="709" w:right="849" w:bottom="1134" w:left="1276" w:header="340" w:footer="34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tbl>
      <w:tblPr>
        <w:tblW w:w="5812" w:type="dxa"/>
        <w:tblInd w:w="907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850"/>
              <w:jc w:val="right"/>
              <w:spacing w:after="0" w:line="240" w:lineRule="auto"/>
              <w:tabs>
                <w:tab w:val="left" w:pos="-249" w:leader="none"/>
              </w:tabs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ПРИЛОЖЕНИЕ 1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850"/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 постановлению администрации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50"/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50"/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 _________________ 2025 года 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0"/>
        <w:jc w:val="right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50"/>
        <w:ind w:right="-2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З М Е Н Е Н И Я,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right="-2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вносимые в раздел 4 Паспорта  муниципальной программы Белоярского района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right="-29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имуществом Белоярского района»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0"/>
        <w:ind w:right="-2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9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«4. Финансовое обеспечение муниципальной программы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9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706"/>
        <w:tblW w:w="0" w:type="auto"/>
        <w:tblInd w:w="-187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2221"/>
        <w:gridCol w:w="945"/>
        <w:gridCol w:w="945"/>
        <w:gridCol w:w="945"/>
        <w:gridCol w:w="945"/>
        <w:gridCol w:w="945"/>
        <w:gridCol w:w="945"/>
        <w:gridCol w:w="1095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6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  <w:r/>
          </w:p>
        </w:tc>
      </w:tr>
      <w:tr>
        <w:tblPrEx/>
        <w:trPr>
          <w:trHeight w:val="52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«Управление муниципальным имуществом Белоярского района»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68 034,1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42 935,7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39 646,5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39 646,5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39 646,5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39 646,5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269 555,8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6 921,9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3 057,6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9 979,5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61 112,2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39 878,1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39 646,5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39 646,5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39 646,5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39 646,5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259 576,3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</w:tr>
      <w:tr>
        <w:tblPrEx/>
        <w:trPr>
          <w:trHeight w:val="55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Региональный проект "Национальная система пространственных данных"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2 643,5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3 360,0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6 003,5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2 405,5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3 057,6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5 463,1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238,0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302,4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540,4</w:t>
            </w:r>
            <w:r/>
            <w:r/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1.1.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"Выполнение комплексных кадастровых работ"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2 643,5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3 360,0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6 003,5</w:t>
            </w: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2 405,5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3 057,6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5 463,1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238,0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302,4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540,4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  <w:tabs>
                <w:tab w:val="left" w:pos="4365" w:leader="none"/>
              </w:tabs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Региональный проект «Развитие экосистемы поддержки гражданских инициатив» (всего), в том числе: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ab/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6 452,0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4 516,4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4 516,4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1 935,6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1 935,6</w:t>
            </w:r>
            <w:r/>
            <w:r/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2.1.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"Реализация инициативных проектов в сфере благоустройства городского поселения Белоярский"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6 452,0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4 516,4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4 516,4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1 935,6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1 935,6</w:t>
            </w:r>
            <w:r/>
            <w:r/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"Управление и распоряжение муниципальным имуществом"</w:t>
              <w:br/>
              <w:t xml:space="preserve">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25 708,2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8 721,5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8 792,3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8 792,3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8 792,3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8 792,3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69 598,9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25 708,2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8 721,5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8 792,3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8 792,3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8 792,3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8 792,3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69 598,9</w:t>
            </w:r>
            <w:r/>
            <w:r/>
          </w:p>
        </w:tc>
      </w:tr>
      <w:tr>
        <w:tblPrEx/>
        <w:trPr>
          <w:trHeight w:val="8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"Управление и распоряжение земельными участками, находящимися в муниципальной собственности"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312,0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312,0</w:t>
            </w:r>
            <w:r/>
            <w:r/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"Обеспечение деятельности органов местного самоуправления Белоярского района"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33 178,4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187 189,4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33 178,4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187 189,4</w:t>
            </w:r>
            <w:r/>
            <w:r/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5.1.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"Обеспечение функций управления муниципальным имуществом"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33 178,4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187 189,4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46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33 178,4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30 802,2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187 189,4</w:t>
            </w:r>
            <w:r/>
            <w:r/>
          </w:p>
        </w:tc>
      </w:tr>
    </w:tbl>
    <w:p>
      <w:pPr>
        <w:pStyle w:val="850"/>
        <w:ind w:firstLine="540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</w:p>
    <w:sectPr>
      <w:footnotePr/>
      <w:endnotePr/>
      <w:type w:val="nextPage"/>
      <w:pgSz w:w="16838" w:h="11906" w:orient="landscape"/>
      <w:pgMar w:top="567" w:right="709" w:bottom="1133" w:left="1134" w:header="340" w:footer="34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2"/>
      <w:tabs>
        <w:tab w:val="center" w:pos="4677" w:leader="none"/>
        <w:tab w:val="right" w:pos="9355" w:leader="none"/>
      </w:tabs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1">
    <w:name w:val="Основной шрифт абзаца"/>
    <w:next w:val="851"/>
    <w:link w:val="850"/>
    <w:uiPriority w:val="1"/>
    <w:unhideWhenUsed/>
  </w:style>
  <w:style w:type="table" w:styleId="852">
    <w:name w:val="Обычная таблица"/>
    <w:next w:val="852"/>
    <w:link w:val="850"/>
    <w:uiPriority w:val="99"/>
    <w:unhideWhenUsed/>
    <w:tblPr/>
  </w:style>
  <w:style w:type="character" w:styleId="853">
    <w:name w:val="Просмотренная гиперссылка"/>
    <w:next w:val="853"/>
    <w:link w:val="850"/>
    <w:uiPriority w:val="99"/>
    <w:unhideWhenUsed/>
    <w:rPr>
      <w:color w:val="800080"/>
      <w:u w:val="single"/>
    </w:rPr>
  </w:style>
  <w:style w:type="character" w:styleId="854">
    <w:name w:val="Знак примечания"/>
    <w:next w:val="854"/>
    <w:link w:val="850"/>
    <w:uiPriority w:val="99"/>
    <w:unhideWhenUsed/>
    <w:rPr>
      <w:sz w:val="16"/>
      <w:szCs w:val="16"/>
    </w:rPr>
  </w:style>
  <w:style w:type="character" w:styleId="855">
    <w:name w:val="Гиперссылка"/>
    <w:next w:val="855"/>
    <w:link w:val="850"/>
    <w:uiPriority w:val="99"/>
    <w:unhideWhenUsed/>
    <w:rPr>
      <w:color w:val="0000ff"/>
      <w:u w:val="single"/>
    </w:rPr>
  </w:style>
  <w:style w:type="paragraph" w:styleId="856">
    <w:name w:val="Текст выноски"/>
    <w:basedOn w:val="850"/>
    <w:next w:val="856"/>
    <w:link w:val="85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7">
    <w:name w:val="Текст выноски Знак"/>
    <w:next w:val="857"/>
    <w:link w:val="856"/>
    <w:uiPriority w:val="99"/>
    <w:semiHidden/>
    <w:rPr>
      <w:rFonts w:ascii="Tahoma" w:hAnsi="Tahoma" w:cs="Tahoma"/>
      <w:sz w:val="16"/>
      <w:szCs w:val="16"/>
    </w:rPr>
  </w:style>
  <w:style w:type="paragraph" w:styleId="858">
    <w:name w:val="Текст примечания"/>
    <w:basedOn w:val="850"/>
    <w:next w:val="858"/>
    <w:link w:val="859"/>
    <w:uiPriority w:val="99"/>
    <w:unhideWhenUsed/>
    <w:pPr>
      <w:spacing w:line="240" w:lineRule="auto"/>
    </w:pPr>
    <w:rPr>
      <w:sz w:val="20"/>
      <w:szCs w:val="20"/>
    </w:rPr>
  </w:style>
  <w:style w:type="character" w:styleId="859">
    <w:name w:val="Текст примечания Знак"/>
    <w:next w:val="859"/>
    <w:link w:val="858"/>
    <w:uiPriority w:val="99"/>
    <w:semiHidden/>
    <w:rPr>
      <w:sz w:val="20"/>
      <w:szCs w:val="20"/>
    </w:rPr>
  </w:style>
  <w:style w:type="paragraph" w:styleId="860">
    <w:name w:val="Тема примечания"/>
    <w:basedOn w:val="858"/>
    <w:next w:val="858"/>
    <w:link w:val="861"/>
    <w:uiPriority w:val="99"/>
    <w:unhideWhenUsed/>
    <w:rPr>
      <w:b/>
      <w:bCs/>
    </w:rPr>
  </w:style>
  <w:style w:type="character" w:styleId="861">
    <w:name w:val="Тема примечания Знак"/>
    <w:next w:val="861"/>
    <w:link w:val="860"/>
    <w:uiPriority w:val="99"/>
    <w:semiHidden/>
    <w:rPr>
      <w:b/>
      <w:bCs/>
      <w:sz w:val="20"/>
      <w:szCs w:val="20"/>
    </w:rPr>
  </w:style>
  <w:style w:type="paragraph" w:styleId="862">
    <w:name w:val="Верхний колонтитул"/>
    <w:basedOn w:val="850"/>
    <w:next w:val="862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>
    <w:name w:val="Верхний колонтитул Знак"/>
    <w:next w:val="863"/>
    <w:link w:val="862"/>
    <w:uiPriority w:val="99"/>
  </w:style>
  <w:style w:type="paragraph" w:styleId="864">
    <w:name w:val="Нижний колонтитул"/>
    <w:basedOn w:val="850"/>
    <w:next w:val="864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next w:val="865"/>
    <w:link w:val="864"/>
    <w:uiPriority w:val="99"/>
  </w:style>
  <w:style w:type="paragraph" w:styleId="866">
    <w:name w:val="ConsPlusNormal"/>
    <w:next w:val="866"/>
    <w:link w:val="867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67">
    <w:name w:val="ConsPlusNormal Знак"/>
    <w:next w:val="867"/>
    <w:link w:val="866"/>
    <w:rPr>
      <w:rFonts w:ascii="Calibri" w:hAnsi="Calibri" w:eastAsia="Times New Roman" w:cs="Calibri"/>
      <w:szCs w:val="20"/>
      <w:lang w:eastAsia="ru-RU"/>
    </w:rPr>
  </w:style>
  <w:style w:type="paragraph" w:styleId="868">
    <w:name w:val="ConsPlusTitle"/>
    <w:next w:val="868"/>
    <w:link w:val="85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69">
    <w:name w:val="Без интервала"/>
    <w:next w:val="869"/>
    <w:link w:val="850"/>
    <w:uiPriority w:val="1"/>
    <w:qFormat/>
    <w:rPr>
      <w:sz w:val="22"/>
      <w:szCs w:val="22"/>
      <w:lang w:val="ru-RU" w:eastAsia="en-US" w:bidi="ar-SA"/>
    </w:rPr>
  </w:style>
  <w:style w:type="paragraph" w:styleId="870">
    <w:name w:val="font5"/>
    <w:basedOn w:val="850"/>
    <w:next w:val="870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71">
    <w:name w:val="font6"/>
    <w:basedOn w:val="850"/>
    <w:next w:val="871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2">
    <w:name w:val="font7"/>
    <w:basedOn w:val="850"/>
    <w:next w:val="872"/>
    <w:link w:val="85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73">
    <w:name w:val="xl66"/>
    <w:basedOn w:val="850"/>
    <w:next w:val="873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4">
    <w:name w:val="xl67"/>
    <w:basedOn w:val="850"/>
    <w:next w:val="874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5">
    <w:name w:val="xl68"/>
    <w:basedOn w:val="850"/>
    <w:next w:val="875"/>
    <w:link w:val="85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6">
    <w:name w:val="xl69"/>
    <w:basedOn w:val="850"/>
    <w:next w:val="876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77">
    <w:name w:val="xl70"/>
    <w:basedOn w:val="850"/>
    <w:next w:val="877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8">
    <w:name w:val="xl71"/>
    <w:basedOn w:val="850"/>
    <w:next w:val="87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9">
    <w:name w:val="xl72"/>
    <w:basedOn w:val="850"/>
    <w:next w:val="879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880">
    <w:name w:val="xl73"/>
    <w:basedOn w:val="850"/>
    <w:next w:val="880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1">
    <w:name w:val="xl74"/>
    <w:basedOn w:val="850"/>
    <w:next w:val="881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2">
    <w:name w:val="xl75"/>
    <w:basedOn w:val="850"/>
    <w:next w:val="882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3">
    <w:name w:val="xl76"/>
    <w:basedOn w:val="850"/>
    <w:next w:val="883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84">
    <w:name w:val="xl77"/>
    <w:basedOn w:val="850"/>
    <w:next w:val="884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5">
    <w:name w:val="xl78"/>
    <w:basedOn w:val="850"/>
    <w:next w:val="885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6">
    <w:name w:val="xl79"/>
    <w:basedOn w:val="850"/>
    <w:next w:val="886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7">
    <w:name w:val="xl80"/>
    <w:basedOn w:val="850"/>
    <w:next w:val="887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8">
    <w:name w:val="xl81"/>
    <w:basedOn w:val="850"/>
    <w:next w:val="888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9">
    <w:name w:val="xl82"/>
    <w:basedOn w:val="850"/>
    <w:next w:val="889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90">
    <w:name w:val="xl83"/>
    <w:basedOn w:val="850"/>
    <w:next w:val="890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>
    <w:name w:val="xl84"/>
    <w:basedOn w:val="850"/>
    <w:next w:val="89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2">
    <w:name w:val="xl85"/>
    <w:basedOn w:val="850"/>
    <w:next w:val="89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3">
    <w:name w:val="xl86"/>
    <w:basedOn w:val="850"/>
    <w:next w:val="893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4">
    <w:name w:val="xl87"/>
    <w:basedOn w:val="850"/>
    <w:next w:val="89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5">
    <w:name w:val="xl88"/>
    <w:basedOn w:val="850"/>
    <w:next w:val="89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6">
    <w:name w:val="xl89"/>
    <w:basedOn w:val="850"/>
    <w:next w:val="89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7">
    <w:name w:val="xl90"/>
    <w:basedOn w:val="850"/>
    <w:next w:val="897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8">
    <w:name w:val="xl91"/>
    <w:basedOn w:val="850"/>
    <w:next w:val="89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9">
    <w:name w:val="xl92"/>
    <w:basedOn w:val="850"/>
    <w:next w:val="899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0">
    <w:name w:val="xl93"/>
    <w:basedOn w:val="850"/>
    <w:next w:val="90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1">
    <w:name w:val="xl94"/>
    <w:basedOn w:val="850"/>
    <w:next w:val="90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2">
    <w:name w:val="xl95"/>
    <w:basedOn w:val="850"/>
    <w:next w:val="90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3">
    <w:name w:val="xl96"/>
    <w:basedOn w:val="850"/>
    <w:next w:val="903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4">
    <w:name w:val="xl97"/>
    <w:basedOn w:val="850"/>
    <w:next w:val="90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5">
    <w:name w:val="xl98"/>
    <w:basedOn w:val="850"/>
    <w:next w:val="905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6">
    <w:name w:val="xl99"/>
    <w:basedOn w:val="850"/>
    <w:next w:val="90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7">
    <w:name w:val="xl100"/>
    <w:basedOn w:val="850"/>
    <w:next w:val="907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8">
    <w:name w:val="xl101"/>
    <w:basedOn w:val="850"/>
    <w:next w:val="90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9">
    <w:name w:val="xl102"/>
    <w:basedOn w:val="850"/>
    <w:next w:val="909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0">
    <w:name w:val="xl103"/>
    <w:basedOn w:val="850"/>
    <w:next w:val="91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1">
    <w:name w:val="xl104"/>
    <w:basedOn w:val="850"/>
    <w:next w:val="91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2">
    <w:name w:val="xl105"/>
    <w:basedOn w:val="850"/>
    <w:next w:val="91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3">
    <w:name w:val="xl106"/>
    <w:basedOn w:val="850"/>
    <w:next w:val="913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4">
    <w:name w:val="xl107"/>
    <w:basedOn w:val="850"/>
    <w:next w:val="91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5">
    <w:name w:val="xl108"/>
    <w:basedOn w:val="850"/>
    <w:next w:val="915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6">
    <w:name w:val="xl109"/>
    <w:basedOn w:val="850"/>
    <w:next w:val="91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7">
    <w:name w:val="xl110"/>
    <w:basedOn w:val="850"/>
    <w:next w:val="91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8">
    <w:name w:val="xl111"/>
    <w:basedOn w:val="850"/>
    <w:next w:val="918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9">
    <w:name w:val="xl112"/>
    <w:basedOn w:val="850"/>
    <w:next w:val="91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20">
    <w:name w:val="xl113"/>
    <w:basedOn w:val="850"/>
    <w:next w:val="92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1">
    <w:name w:val="xl114"/>
    <w:basedOn w:val="850"/>
    <w:next w:val="92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2">
    <w:name w:val="xl115"/>
    <w:basedOn w:val="850"/>
    <w:next w:val="922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3">
    <w:name w:val="xl116"/>
    <w:basedOn w:val="850"/>
    <w:next w:val="92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>
    <w:name w:val="xl117"/>
    <w:basedOn w:val="850"/>
    <w:next w:val="92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5">
    <w:name w:val="xl118"/>
    <w:basedOn w:val="850"/>
    <w:next w:val="925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>
    <w:name w:val="xl119"/>
    <w:basedOn w:val="850"/>
    <w:next w:val="92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7">
    <w:name w:val="xl120"/>
    <w:basedOn w:val="850"/>
    <w:next w:val="92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8">
    <w:name w:val="xl121"/>
    <w:basedOn w:val="850"/>
    <w:next w:val="92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9">
    <w:name w:val="xl122"/>
    <w:basedOn w:val="850"/>
    <w:next w:val="92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0">
    <w:name w:val="xl123"/>
    <w:basedOn w:val="850"/>
    <w:next w:val="930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1">
    <w:name w:val="xl124"/>
    <w:basedOn w:val="850"/>
    <w:next w:val="931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2">
    <w:name w:val="xl125"/>
    <w:basedOn w:val="850"/>
    <w:next w:val="93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3">
    <w:name w:val="xl126"/>
    <w:basedOn w:val="850"/>
    <w:next w:val="93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4">
    <w:name w:val="xl127"/>
    <w:basedOn w:val="850"/>
    <w:next w:val="93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5">
    <w:name w:val="xl128"/>
    <w:basedOn w:val="850"/>
    <w:next w:val="935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6">
    <w:name w:val="xl129"/>
    <w:basedOn w:val="850"/>
    <w:next w:val="936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7">
    <w:name w:val="xl130"/>
    <w:basedOn w:val="850"/>
    <w:next w:val="937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8">
    <w:name w:val="xl131"/>
    <w:basedOn w:val="850"/>
    <w:next w:val="93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9">
    <w:name w:val="xl132"/>
    <w:basedOn w:val="850"/>
    <w:next w:val="939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0">
    <w:name w:val="xl133"/>
    <w:basedOn w:val="850"/>
    <w:next w:val="94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1">
    <w:name w:val="xl134"/>
    <w:basedOn w:val="850"/>
    <w:next w:val="94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2">
    <w:name w:val="xl135"/>
    <w:basedOn w:val="850"/>
    <w:next w:val="94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3">
    <w:name w:val="xl136"/>
    <w:basedOn w:val="850"/>
    <w:next w:val="943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4">
    <w:name w:val="xl137"/>
    <w:basedOn w:val="850"/>
    <w:next w:val="94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5">
    <w:name w:val="xl138"/>
    <w:basedOn w:val="850"/>
    <w:next w:val="945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6">
    <w:name w:val="xl139"/>
    <w:basedOn w:val="850"/>
    <w:next w:val="946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7">
    <w:name w:val="xl140"/>
    <w:basedOn w:val="850"/>
    <w:next w:val="947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8">
    <w:name w:val="xl141"/>
    <w:basedOn w:val="850"/>
    <w:next w:val="948"/>
    <w:link w:val="850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9">
    <w:name w:val="xl142"/>
    <w:basedOn w:val="850"/>
    <w:next w:val="94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0">
    <w:name w:val="xl143"/>
    <w:basedOn w:val="850"/>
    <w:next w:val="95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1">
    <w:name w:val="xl144"/>
    <w:basedOn w:val="850"/>
    <w:next w:val="95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>
    <w:name w:val="xl145"/>
    <w:basedOn w:val="850"/>
    <w:next w:val="95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>
    <w:name w:val="xl146"/>
    <w:basedOn w:val="850"/>
    <w:next w:val="95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4">
    <w:name w:val="xl147"/>
    <w:basedOn w:val="850"/>
    <w:next w:val="95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>
    <w:name w:val="xl148"/>
    <w:basedOn w:val="850"/>
    <w:next w:val="95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>
    <w:name w:val="xl149"/>
    <w:basedOn w:val="850"/>
    <w:next w:val="95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7">
    <w:name w:val="xl150"/>
    <w:basedOn w:val="850"/>
    <w:next w:val="95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8">
    <w:name w:val="xl151"/>
    <w:basedOn w:val="850"/>
    <w:next w:val="95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9">
    <w:name w:val="xl152"/>
    <w:basedOn w:val="850"/>
    <w:next w:val="959"/>
    <w:link w:val="85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60">
    <w:name w:val="xl153"/>
    <w:basedOn w:val="850"/>
    <w:next w:val="960"/>
    <w:link w:val="85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61">
    <w:name w:val="xl154"/>
    <w:basedOn w:val="850"/>
    <w:next w:val="96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2">
    <w:name w:val="xl155"/>
    <w:basedOn w:val="850"/>
    <w:next w:val="96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3">
    <w:name w:val="xl156"/>
    <w:basedOn w:val="850"/>
    <w:next w:val="96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4">
    <w:name w:val="xl157"/>
    <w:basedOn w:val="850"/>
    <w:next w:val="964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5">
    <w:name w:val="xl158"/>
    <w:basedOn w:val="850"/>
    <w:next w:val="965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6">
    <w:name w:val="xl159"/>
    <w:basedOn w:val="850"/>
    <w:next w:val="966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67">
    <w:name w:val="xl160"/>
    <w:basedOn w:val="850"/>
    <w:next w:val="967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8">
    <w:name w:val="xl161"/>
    <w:basedOn w:val="850"/>
    <w:next w:val="96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69">
    <w:name w:val="xl162"/>
    <w:basedOn w:val="850"/>
    <w:next w:val="969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0">
    <w:name w:val="xl163"/>
    <w:basedOn w:val="850"/>
    <w:next w:val="970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1">
    <w:name w:val="xl164"/>
    <w:basedOn w:val="850"/>
    <w:next w:val="971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2">
    <w:name w:val="xl165"/>
    <w:basedOn w:val="850"/>
    <w:next w:val="972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3">
    <w:name w:val="xl166"/>
    <w:basedOn w:val="850"/>
    <w:next w:val="973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4">
    <w:name w:val="xl167"/>
    <w:basedOn w:val="850"/>
    <w:next w:val="974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character" w:styleId="975">
    <w:name w:val="font21"/>
    <w:next w:val="975"/>
    <w:link w:val="850"/>
    <w:rPr>
      <w:rFonts w:ascii="Times New Roman" w:hAnsi="Times New Roman" w:cs="Times New Roman"/>
      <w:color w:val="000000"/>
      <w:u w:val="none"/>
    </w:rPr>
  </w:style>
  <w:style w:type="character" w:styleId="976">
    <w:name w:val="font01"/>
    <w:next w:val="976"/>
    <w:link w:val="850"/>
    <w:rPr>
      <w:rFonts w:ascii="Times New Roman" w:hAnsi="Times New Roman" w:cs="Times New Roman"/>
      <w:color w:val="000000"/>
      <w:u w:val="none"/>
    </w:rPr>
  </w:style>
  <w:style w:type="character" w:styleId="977">
    <w:name w:val="font51"/>
    <w:next w:val="977"/>
    <w:link w:val="850"/>
    <w:rPr>
      <w:rFonts w:ascii="Calibri" w:hAnsi="Calibri" w:cs="Calibri"/>
      <w:color w:val="000000"/>
      <w:u w:val="none"/>
    </w:rPr>
  </w:style>
  <w:style w:type="character" w:styleId="978">
    <w:name w:val="font61"/>
    <w:next w:val="978"/>
    <w:link w:val="850"/>
    <w:rPr>
      <w:rFonts w:ascii="Times New Roman" w:hAnsi="Times New Roman" w:cs="Times New Roman"/>
      <w:color w:val="000000"/>
      <w:u w:val="none"/>
    </w:rPr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MazurGP</cp:lastModifiedBy>
  <cp:revision>10</cp:revision>
  <dcterms:created xsi:type="dcterms:W3CDTF">2025-04-22T11:03:00Z</dcterms:created>
  <dcterms:modified xsi:type="dcterms:W3CDTF">2025-12-18T06:58:35Z</dcterms:modified>
</cp:coreProperties>
</file>