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jc w:val="lef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4"/>
          <w:szCs w:val="24"/>
        </w:rPr>
        <w:t xml:space="preserve">   Опросный лист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проведении публичных консультаций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рамках оценки регулирующего воздействия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проекту нормативного правового акта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9"/>
        </w:trPr>
        <w:tc>
          <w:tcPr>
            <w:tcBorders>
              <w:bottom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ind w:firstLine="660"/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Перечень вопросов в рамках проведения публичного обсуждения проекта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постановления администрации Белоярского района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северного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завоза продукции (товаров) на территорию Белоярского района,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6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KipotMS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не позднее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года.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66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jc w:val="center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Контактная информация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По Вашему желанию укажите: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Наименование организации 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Сферу деятельности организации 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Ф.И.О. контактного лица _________________________________________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Номер контактного телефона _____________________________________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  <w:pBdr>
          <w:top w:val="single" w:color="000000" w:sz="4" w:space="1"/>
          <w:left w:val="single" w:color="000000" w:sz="4" w:space="0"/>
          <w:bottom w:val="single" w:color="000000" w:sz="4" w:space="5"/>
          <w:right w:val="single" w:color="000000" w:sz="4" w:space="11"/>
        </w:pBdr>
      </w:pPr>
      <w:r>
        <w:rPr>
          <w:color w:val="000000"/>
          <w:sz w:val="24"/>
          <w:szCs w:val="24"/>
        </w:rPr>
        <w:t xml:space="preserve">Адрес электронной почты ________________________________________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Borders>
              <w:top w:val="single" w:color="000000" w:sz="4" w:space="0"/>
            </w:tcBorders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4. Какие, по Вашему мнению, субъекты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8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</w:t>
            </w:r>
            <w:r>
              <w:rPr>
                <w:i/>
                <w:color w:val="000000"/>
                <w:sz w:val="24"/>
                <w:szCs w:val="24"/>
              </w:rPr>
              <w:t xml:space="preserve">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7.1. Соответствует ли проект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3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8. 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i/>
                <w:color w:val="000000"/>
                <w:sz w:val="24"/>
                <w:szCs w:val="24"/>
              </w:rPr>
              <w:t xml:space="preserve"> деятельности? Приведите обоснования по каждому указанному положению, дополнительно определив: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имеются ли технические ошибки;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</w:t>
            </w:r>
            <w:r>
              <w:rPr>
                <w:i/>
                <w:color w:val="000000"/>
                <w:sz w:val="24"/>
                <w:szCs w:val="24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 существующих или возможных поставщиков или потребителей;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9. К каким последствиям мож</w:t>
            </w:r>
            <w:r>
              <w:rPr>
                <w:i/>
                <w:color w:val="000000"/>
                <w:sz w:val="24"/>
                <w:szCs w:val="24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инвестиционной и иной экономической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 xml:space="preserve">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i/>
                <w:color w:val="000000"/>
                <w:sz w:val="24"/>
                <w:szCs w:val="24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i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5"/>
        </w:trPr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7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i/>
                <w:color w:val="000000"/>
                <w:sz w:val="24"/>
                <w:szCs w:val="24"/>
              </w:rPr>
            </w:r>
            <w:r>
              <w:rPr>
                <w:i/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"/>
        </w:trPr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870"/>
              <w:tabs>
                <w:tab w:val="left" w:pos="1026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851" w:left="1559" w:header="397" w:footer="39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0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3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2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strike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0"/>
    <w:next w:val="87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0"/>
    <w:next w:val="870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0"/>
    <w:next w:val="870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0"/>
    <w:next w:val="870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0"/>
    <w:next w:val="8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0"/>
    <w:next w:val="870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0"/>
    <w:next w:val="870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0"/>
    <w:next w:val="870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0"/>
    <w:next w:val="870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70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70"/>
    <w:next w:val="870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link w:val="712"/>
    <w:uiPriority w:val="10"/>
    <w:rPr>
      <w:sz w:val="48"/>
      <w:szCs w:val="48"/>
    </w:rPr>
  </w:style>
  <w:style w:type="paragraph" w:styleId="714">
    <w:name w:val="Subtitle"/>
    <w:basedOn w:val="870"/>
    <w:next w:val="870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link w:val="714"/>
    <w:uiPriority w:val="11"/>
    <w:rPr>
      <w:sz w:val="24"/>
      <w:szCs w:val="24"/>
    </w:rPr>
  </w:style>
  <w:style w:type="paragraph" w:styleId="716">
    <w:name w:val="Quote"/>
    <w:basedOn w:val="870"/>
    <w:next w:val="870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70"/>
    <w:next w:val="870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paragraph" w:styleId="720">
    <w:name w:val="Header"/>
    <w:basedOn w:val="870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Header Char"/>
    <w:link w:val="720"/>
    <w:uiPriority w:val="99"/>
  </w:style>
  <w:style w:type="paragraph" w:styleId="722">
    <w:name w:val="Footer"/>
    <w:basedOn w:val="87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Footer Char"/>
    <w:link w:val="722"/>
    <w:uiPriority w:val="99"/>
  </w:style>
  <w:style w:type="paragraph" w:styleId="724">
    <w:name w:val="Caption"/>
    <w:basedOn w:val="870"/>
    <w:next w:val="870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next w:val="870"/>
    <w:link w:val="870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71">
    <w:name w:val="Заголовок 1"/>
    <w:basedOn w:val="870"/>
    <w:next w:val="870"/>
    <w:link w:val="883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2">
    <w:name w:val="Заголовок 2,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870"/>
    <w:next w:val="870"/>
    <w:link w:val="876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0"/>
      <w:lang w:val="en-US"/>
    </w:rPr>
  </w:style>
  <w:style w:type="character" w:styleId="873">
    <w:name w:val="Основной шрифт абзаца"/>
    <w:next w:val="873"/>
    <w:link w:val="870"/>
    <w:uiPriority w:val="1"/>
    <w:unhideWhenUsed/>
  </w:style>
  <w:style w:type="table" w:styleId="874">
    <w:name w:val="Обычная таблица"/>
    <w:next w:val="874"/>
    <w:link w:val="870"/>
    <w:uiPriority w:val="99"/>
    <w:semiHidden/>
    <w:unhideWhenUsed/>
    <w:tblPr/>
  </w:style>
  <w:style w:type="numbering" w:styleId="875">
    <w:name w:val="Нет списка"/>
    <w:next w:val="875"/>
    <w:link w:val="870"/>
    <w:uiPriority w:val="99"/>
    <w:semiHidden/>
    <w:unhideWhenUsed/>
  </w:style>
  <w:style w:type="character" w:styleId="876">
    <w:name w:val="Заголовок 2 Знак,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next w:val="876"/>
    <w:link w:val="872"/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877">
    <w:name w:val="Текст выноски"/>
    <w:basedOn w:val="870"/>
    <w:next w:val="877"/>
    <w:link w:val="878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78">
    <w:name w:val="Текст выноски Знак"/>
    <w:next w:val="878"/>
    <w:link w:val="877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9">
    <w:name w:val="Верхний колонтитул"/>
    <w:basedOn w:val="870"/>
    <w:next w:val="879"/>
    <w:link w:val="88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0">
    <w:name w:val="Верхний колонтитул Знак"/>
    <w:next w:val="880"/>
    <w:link w:val="879"/>
    <w:uiPriority w:val="99"/>
    <w:rPr>
      <w:rFonts w:ascii="Times New Roman" w:hAnsi="Times New Roman" w:eastAsia="Times New Roman"/>
      <w:sz w:val="24"/>
      <w:szCs w:val="24"/>
    </w:rPr>
  </w:style>
  <w:style w:type="paragraph" w:styleId="881">
    <w:name w:val="Нижний колонтитул"/>
    <w:basedOn w:val="870"/>
    <w:next w:val="881"/>
    <w:link w:val="88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2">
    <w:name w:val="Нижний колонтитул Знак"/>
    <w:next w:val="882"/>
    <w:link w:val="881"/>
    <w:uiPriority w:val="99"/>
    <w:rPr>
      <w:rFonts w:ascii="Times New Roman" w:hAnsi="Times New Roman" w:eastAsia="Times New Roman"/>
      <w:sz w:val="24"/>
      <w:szCs w:val="24"/>
    </w:rPr>
  </w:style>
  <w:style w:type="character" w:styleId="883">
    <w:name w:val="Заголовок 1 Знак"/>
    <w:next w:val="883"/>
    <w:link w:val="871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4">
    <w:name w:val="Font Style13"/>
    <w:next w:val="884"/>
    <w:link w:val="870"/>
    <w:rPr>
      <w:rFonts w:ascii="Times New Roman" w:hAnsi="Times New Roman"/>
      <w:sz w:val="18"/>
    </w:rPr>
  </w:style>
  <w:style w:type="numbering" w:styleId="885">
    <w:name w:val="Нет списка1"/>
    <w:next w:val="875"/>
    <w:link w:val="870"/>
    <w:uiPriority w:val="99"/>
    <w:semiHidden/>
    <w:unhideWhenUsed/>
  </w:style>
  <w:style w:type="numbering" w:styleId="886">
    <w:name w:val="Нет списка11"/>
    <w:next w:val="875"/>
    <w:link w:val="870"/>
    <w:uiPriority w:val="99"/>
    <w:semiHidden/>
    <w:unhideWhenUsed/>
  </w:style>
  <w:style w:type="paragraph" w:styleId="887">
    <w:name w:val="ConsPlusNormal"/>
    <w:next w:val="887"/>
    <w:link w:val="870"/>
    <w:pPr>
      <w:jc w:val="both"/>
      <w:spacing w:line="360" w:lineRule="atLeast"/>
      <w:widowControl w:val="off"/>
    </w:pPr>
    <w:rPr>
      <w:rFonts w:ascii="Arial" w:hAnsi="Arial" w:eastAsia="Times New Roman" w:cs="Arial"/>
      <w:lang w:val="ru-RU" w:eastAsia="ru-RU" w:bidi="ar-SA"/>
    </w:rPr>
  </w:style>
  <w:style w:type="numbering" w:styleId="888">
    <w:name w:val="Нет списка2"/>
    <w:next w:val="875"/>
    <w:link w:val="870"/>
    <w:uiPriority w:val="99"/>
    <w:semiHidden/>
    <w:unhideWhenUsed/>
  </w:style>
  <w:style w:type="numbering" w:styleId="889">
    <w:name w:val="Нет списка3"/>
    <w:next w:val="875"/>
    <w:link w:val="870"/>
    <w:uiPriority w:val="99"/>
    <w:semiHidden/>
    <w:unhideWhenUsed/>
  </w:style>
  <w:style w:type="numbering" w:styleId="890">
    <w:name w:val="Нет списка4"/>
    <w:next w:val="875"/>
    <w:link w:val="870"/>
    <w:uiPriority w:val="99"/>
    <w:semiHidden/>
    <w:unhideWhenUsed/>
  </w:style>
  <w:style w:type="numbering" w:styleId="891">
    <w:name w:val="Нет списка5"/>
    <w:next w:val="875"/>
    <w:link w:val="870"/>
    <w:uiPriority w:val="99"/>
    <w:semiHidden/>
    <w:unhideWhenUsed/>
  </w:style>
  <w:style w:type="numbering" w:styleId="892">
    <w:name w:val="Нет списка6"/>
    <w:next w:val="875"/>
    <w:link w:val="870"/>
    <w:uiPriority w:val="99"/>
    <w:semiHidden/>
    <w:unhideWhenUsed/>
  </w:style>
  <w:style w:type="table" w:styleId="893">
    <w:name w:val="Сетка таблицы"/>
    <w:basedOn w:val="874"/>
    <w:next w:val="893"/>
    <w:link w:val="870"/>
    <w:uiPriority w:val="39"/>
    <w:rPr>
      <w:sz w:val="22"/>
      <w:szCs w:val="22"/>
      <w:lang w:eastAsia="en-US"/>
    </w:rPr>
    <w:tblPr/>
  </w:style>
  <w:style w:type="paragraph" w:styleId="894">
    <w:name w:val="Абзац списка"/>
    <w:basedOn w:val="870"/>
    <w:next w:val="894"/>
    <w:link w:val="87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numbering" w:styleId="895">
    <w:name w:val="Нет списка7"/>
    <w:next w:val="875"/>
    <w:link w:val="870"/>
    <w:uiPriority w:val="99"/>
    <w:semiHidden/>
    <w:unhideWhenUsed/>
  </w:style>
  <w:style w:type="numbering" w:styleId="896">
    <w:name w:val="Нет списка12"/>
    <w:next w:val="875"/>
    <w:link w:val="870"/>
    <w:uiPriority w:val="99"/>
    <w:semiHidden/>
    <w:unhideWhenUsed/>
  </w:style>
  <w:style w:type="numbering" w:styleId="897">
    <w:name w:val="Нет списка21"/>
    <w:next w:val="875"/>
    <w:link w:val="870"/>
    <w:uiPriority w:val="99"/>
    <w:semiHidden/>
    <w:unhideWhenUsed/>
  </w:style>
  <w:style w:type="numbering" w:styleId="898">
    <w:name w:val="Нет списка31"/>
    <w:next w:val="875"/>
    <w:link w:val="870"/>
    <w:uiPriority w:val="99"/>
    <w:semiHidden/>
    <w:unhideWhenUsed/>
  </w:style>
  <w:style w:type="numbering" w:styleId="899">
    <w:name w:val="Нет списка41"/>
    <w:next w:val="875"/>
    <w:link w:val="870"/>
    <w:uiPriority w:val="99"/>
    <w:semiHidden/>
    <w:unhideWhenUsed/>
  </w:style>
  <w:style w:type="numbering" w:styleId="900">
    <w:name w:val="Нет списка51"/>
    <w:next w:val="875"/>
    <w:link w:val="870"/>
    <w:uiPriority w:val="99"/>
    <w:semiHidden/>
    <w:unhideWhenUsed/>
  </w:style>
  <w:style w:type="numbering" w:styleId="901">
    <w:name w:val="Нет списка61"/>
    <w:next w:val="875"/>
    <w:link w:val="870"/>
    <w:uiPriority w:val="99"/>
    <w:semiHidden/>
    <w:unhideWhenUsed/>
  </w:style>
  <w:style w:type="table" w:styleId="902">
    <w:name w:val="Сетка таблицы1"/>
    <w:basedOn w:val="874"/>
    <w:next w:val="893"/>
    <w:link w:val="870"/>
    <w:uiPriority w:val="59"/>
    <w:rPr>
      <w:sz w:val="22"/>
      <w:szCs w:val="22"/>
      <w:lang w:eastAsia="en-US"/>
    </w:rPr>
    <w:tblPr/>
  </w:style>
  <w:style w:type="paragraph" w:styleId="903">
    <w:name w:val="ConsPlusTitle"/>
    <w:next w:val="903"/>
    <w:link w:val="870"/>
    <w:pPr>
      <w:jc w:val="both"/>
      <w:spacing w:line="360" w:lineRule="atLeast"/>
      <w:widowControl w:val="off"/>
    </w:pPr>
    <w:rPr>
      <w:rFonts w:ascii="Times New Roman" w:hAnsi="Times New Roman" w:eastAsia="Times New Roman" w:cs="Calibri"/>
      <w:b/>
      <w:sz w:val="22"/>
      <w:lang w:val="ru-RU" w:eastAsia="ru-RU" w:bidi="ar-SA"/>
    </w:rPr>
  </w:style>
  <w:style w:type="paragraph" w:styleId="904">
    <w:name w:val="Текст сноски"/>
    <w:basedOn w:val="870"/>
    <w:next w:val="904"/>
    <w:link w:val="905"/>
    <w:uiPriority w:val="99"/>
    <w:semiHidden/>
    <w:unhideWhenUsed/>
    <w:rPr>
      <w:rFonts w:ascii="Calibri" w:hAnsi="Calibri" w:eastAsia="Calibri"/>
      <w:sz w:val="20"/>
      <w:szCs w:val="20"/>
      <w:lang w:val="en-US" w:eastAsia="en-US"/>
    </w:rPr>
  </w:style>
  <w:style w:type="character" w:styleId="905">
    <w:name w:val="Текст сноски Знак"/>
    <w:next w:val="905"/>
    <w:link w:val="904"/>
    <w:uiPriority w:val="99"/>
    <w:semiHidden/>
    <w:rPr>
      <w:lang w:eastAsia="en-US"/>
    </w:rPr>
  </w:style>
  <w:style w:type="character" w:styleId="906">
    <w:name w:val="Знак сноски"/>
    <w:next w:val="906"/>
    <w:link w:val="870"/>
    <w:uiPriority w:val="99"/>
    <w:semiHidden/>
    <w:unhideWhenUsed/>
    <w:rPr>
      <w:vertAlign w:val="superscript"/>
    </w:rPr>
  </w:style>
  <w:style w:type="paragraph" w:styleId="907">
    <w:name w:val="Текст концевой сноски"/>
    <w:basedOn w:val="870"/>
    <w:next w:val="907"/>
    <w:link w:val="908"/>
    <w:uiPriority w:val="99"/>
    <w:semiHidden/>
    <w:unhideWhenUsed/>
    <w:rPr>
      <w:sz w:val="20"/>
      <w:szCs w:val="20"/>
      <w:lang w:val="en-US" w:eastAsia="en-US"/>
    </w:rPr>
  </w:style>
  <w:style w:type="character" w:styleId="908">
    <w:name w:val="Текст концевой сноски Знак"/>
    <w:next w:val="908"/>
    <w:link w:val="907"/>
    <w:uiPriority w:val="99"/>
    <w:semiHidden/>
    <w:rPr>
      <w:rFonts w:ascii="Times New Roman" w:hAnsi="Times New Roman" w:eastAsia="Times New Roman"/>
    </w:rPr>
  </w:style>
  <w:style w:type="character" w:styleId="909">
    <w:name w:val="Знак концевой сноски"/>
    <w:next w:val="909"/>
    <w:link w:val="870"/>
    <w:uiPriority w:val="99"/>
    <w:semiHidden/>
    <w:unhideWhenUsed/>
    <w:rPr>
      <w:vertAlign w:val="superscript"/>
    </w:rPr>
  </w:style>
  <w:style w:type="character" w:styleId="910">
    <w:name w:val="Гиперссылка"/>
    <w:next w:val="910"/>
    <w:link w:val="870"/>
    <w:uiPriority w:val="99"/>
    <w:unhideWhenUsed/>
    <w:rPr>
      <w:color w:val="0000ff"/>
      <w:u w:val="single"/>
    </w:rPr>
  </w:style>
  <w:style w:type="character" w:styleId="911">
    <w:name w:val="Знак примечания"/>
    <w:next w:val="911"/>
    <w:link w:val="870"/>
    <w:uiPriority w:val="99"/>
    <w:semiHidden/>
    <w:unhideWhenUsed/>
    <w:rPr>
      <w:sz w:val="16"/>
      <w:szCs w:val="16"/>
    </w:rPr>
  </w:style>
  <w:style w:type="paragraph" w:styleId="912">
    <w:name w:val="Текст примечания"/>
    <w:basedOn w:val="870"/>
    <w:next w:val="912"/>
    <w:link w:val="913"/>
    <w:uiPriority w:val="99"/>
    <w:semiHidden/>
    <w:unhideWhenUsed/>
    <w:rPr>
      <w:sz w:val="20"/>
      <w:szCs w:val="20"/>
    </w:rPr>
  </w:style>
  <w:style w:type="character" w:styleId="913">
    <w:name w:val="Текст примечания Знак"/>
    <w:next w:val="913"/>
    <w:link w:val="912"/>
    <w:uiPriority w:val="99"/>
    <w:semiHidden/>
    <w:rPr>
      <w:rFonts w:ascii="Times New Roman" w:hAnsi="Times New Roman" w:eastAsia="Times New Roman"/>
    </w:rPr>
  </w:style>
  <w:style w:type="paragraph" w:styleId="914">
    <w:name w:val="Тема примечания"/>
    <w:basedOn w:val="912"/>
    <w:next w:val="912"/>
    <w:link w:val="915"/>
    <w:uiPriority w:val="99"/>
    <w:semiHidden/>
    <w:unhideWhenUsed/>
    <w:rPr>
      <w:b/>
      <w:bCs/>
    </w:rPr>
  </w:style>
  <w:style w:type="character" w:styleId="915">
    <w:name w:val="Тема примечания Знак"/>
    <w:next w:val="915"/>
    <w:link w:val="914"/>
    <w:uiPriority w:val="99"/>
    <w:semiHidden/>
    <w:rPr>
      <w:rFonts w:ascii="Times New Roman" w:hAnsi="Times New Roman" w:eastAsia="Times New Roman"/>
      <w:b/>
      <w:bCs/>
    </w:rPr>
  </w:style>
  <w:style w:type="character" w:styleId="916" w:default="1">
    <w:name w:val="Default Paragraph Font"/>
    <w:uiPriority w:val="1"/>
    <w:semiHidden/>
    <w:unhideWhenUsed/>
  </w:style>
  <w:style w:type="numbering" w:styleId="917" w:default="1">
    <w:name w:val="No List"/>
    <w:uiPriority w:val="99"/>
    <w:semiHidden/>
    <w:unhideWhenUsed/>
  </w:style>
  <w:style w:type="table" w:styleId="9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Елена</dc:creator>
  <cp:lastModifiedBy>Econ2</cp:lastModifiedBy>
  <cp:revision>9</cp:revision>
  <dcterms:created xsi:type="dcterms:W3CDTF">2022-03-31T07:22:00Z</dcterms:created>
  <dcterms:modified xsi:type="dcterms:W3CDTF">2025-10-31T11:51:48Z</dcterms:modified>
  <cp:version>1048576</cp:version>
</cp:coreProperties>
</file>