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9A" w:rsidRDefault="002F558E">
      <w:pPr>
        <w:tabs>
          <w:tab w:val="right" w:pos="935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1059A" w:rsidRDefault="002F558E">
      <w:pPr>
        <w:jc w:val="center"/>
      </w:pPr>
      <w:r>
        <w:rPr>
          <w:sz w:val="24"/>
          <w:szCs w:val="24"/>
        </w:rPr>
        <w:t xml:space="preserve">  </w:t>
      </w:r>
      <w:r w:rsidRPr="00EB2B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75pt;visibility:visible;mso-wrap-style:square">
            <v:imagedata r:id="rId7" o:title=""/>
          </v:shape>
        </w:pict>
      </w:r>
    </w:p>
    <w:p w:rsidR="0041059A" w:rsidRDefault="0041059A">
      <w:pPr>
        <w:jc w:val="center"/>
        <w:rPr>
          <w:b/>
          <w:sz w:val="24"/>
          <w:szCs w:val="24"/>
        </w:rPr>
      </w:pPr>
    </w:p>
    <w:p w:rsidR="0041059A" w:rsidRDefault="002F55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1059A" w:rsidRDefault="002F558E">
      <w:pPr>
        <w:keepNext/>
        <w:jc w:val="center"/>
        <w:outlineLvl w:val="2"/>
        <w:rPr>
          <w:b/>
          <w:sz w:val="24"/>
          <w:szCs w:val="24"/>
        </w:rPr>
      </w:pPr>
      <w:r>
        <w:rPr>
          <w:b/>
        </w:rPr>
        <w:t xml:space="preserve">ХАНТЫ-МАНСИЙСКИЙ АВТОНОМНЫЙ ОКРУГ – ЮГРА                  </w:t>
      </w:r>
    </w:p>
    <w:p w:rsidR="0041059A" w:rsidRDefault="002F558E">
      <w:pPr>
        <w:jc w:val="center"/>
      </w:pPr>
      <w:r>
        <w:t xml:space="preserve">                                                                               </w:t>
      </w:r>
    </w:p>
    <w:p w:rsidR="0041059A" w:rsidRDefault="002F558E">
      <w:pPr>
        <w:jc w:val="center"/>
        <w:rPr>
          <w:sz w:val="24"/>
          <w:szCs w:val="24"/>
        </w:rPr>
      </w:pPr>
      <w:r>
        <w:t xml:space="preserve">          </w:t>
      </w:r>
    </w:p>
    <w:p w:rsidR="0041059A" w:rsidRDefault="002F558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41059A" w:rsidRDefault="0041059A">
      <w:pPr>
        <w:keepNext/>
        <w:jc w:val="center"/>
        <w:outlineLvl w:val="0"/>
        <w:rPr>
          <w:sz w:val="28"/>
          <w:szCs w:val="28"/>
        </w:rPr>
      </w:pPr>
    </w:p>
    <w:p w:rsidR="0041059A" w:rsidRDefault="0041059A">
      <w:pPr>
        <w:keepNext/>
        <w:jc w:val="center"/>
        <w:outlineLvl w:val="0"/>
        <w:rPr>
          <w:sz w:val="28"/>
          <w:szCs w:val="28"/>
        </w:rPr>
      </w:pPr>
    </w:p>
    <w:p w:rsidR="0041059A" w:rsidRDefault="002F558E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1059A" w:rsidRDefault="0041059A">
      <w:pPr>
        <w:keepNext/>
        <w:jc w:val="center"/>
        <w:outlineLvl w:val="0"/>
        <w:rPr>
          <w:b/>
          <w:sz w:val="28"/>
        </w:rPr>
      </w:pPr>
    </w:p>
    <w:p w:rsidR="0041059A" w:rsidRDefault="002F558E">
      <w:pPr>
        <w:tabs>
          <w:tab w:val="left" w:pos="7788"/>
          <w:tab w:val="left" w:pos="8292"/>
        </w:tabs>
        <w:jc w:val="center"/>
        <w:rPr>
          <w:b/>
        </w:rPr>
      </w:pPr>
      <w:r>
        <w:tab/>
      </w:r>
    </w:p>
    <w:p w:rsidR="0041059A" w:rsidRDefault="002F558E">
      <w:pPr>
        <w:jc w:val="center"/>
        <w:rPr>
          <w:sz w:val="24"/>
        </w:rPr>
      </w:pPr>
      <w:r>
        <w:rPr>
          <w:sz w:val="24"/>
        </w:rPr>
        <w:t xml:space="preserve">от 11 ноября 2025 года                                                                                           </w:t>
      </w:r>
      <w:r>
        <w:rPr>
          <w:sz w:val="24"/>
        </w:rPr>
        <w:t xml:space="preserve">               № 723</w:t>
      </w:r>
    </w:p>
    <w:p w:rsidR="0041059A" w:rsidRDefault="0041059A">
      <w:pPr>
        <w:jc w:val="center"/>
        <w:rPr>
          <w:sz w:val="24"/>
        </w:rPr>
      </w:pPr>
    </w:p>
    <w:p w:rsidR="0041059A" w:rsidRDefault="0041059A">
      <w:pPr>
        <w:jc w:val="center"/>
        <w:rPr>
          <w:sz w:val="24"/>
          <w:szCs w:val="24"/>
        </w:rPr>
      </w:pPr>
    </w:p>
    <w:p w:rsidR="0041059A" w:rsidRDefault="002F558E">
      <w:pPr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приложение к постановлению администрации </w:t>
      </w:r>
    </w:p>
    <w:p w:rsidR="0041059A" w:rsidRDefault="002F558E">
      <w:pPr>
        <w:jc w:val="center"/>
        <w:rPr>
          <w:b/>
          <w:sz w:val="24"/>
        </w:rPr>
      </w:pPr>
      <w:r>
        <w:rPr>
          <w:b/>
          <w:sz w:val="24"/>
        </w:rPr>
        <w:t>Белоярского района от 5 декабря 2024 года № 849</w:t>
      </w:r>
    </w:p>
    <w:p w:rsidR="0041059A" w:rsidRDefault="0041059A">
      <w:pPr>
        <w:jc w:val="center"/>
        <w:rPr>
          <w:b/>
          <w:sz w:val="24"/>
        </w:rPr>
      </w:pPr>
    </w:p>
    <w:p w:rsidR="0041059A" w:rsidRDefault="0041059A">
      <w:pPr>
        <w:jc w:val="center"/>
        <w:rPr>
          <w:b/>
          <w:sz w:val="24"/>
        </w:rPr>
      </w:pPr>
    </w:p>
    <w:p w:rsidR="0041059A" w:rsidRDefault="0041059A">
      <w:pPr>
        <w:jc w:val="center"/>
        <w:rPr>
          <w:b/>
          <w:sz w:val="24"/>
        </w:rPr>
      </w:pPr>
    </w:p>
    <w:p w:rsidR="0041059A" w:rsidRDefault="002F558E">
      <w:pPr>
        <w:tabs>
          <w:tab w:val="left" w:pos="70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41059A" w:rsidRDefault="002F558E">
      <w:pPr>
        <w:tabs>
          <w:tab w:val="left" w:pos="453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«Развитие физической культуры, спорта и молодежной политики» (далее – Программа) к постановлению администрации Белоярского района от 5 декабря 2024 года № 849 «Об утверждении муниципальной </w:t>
      </w:r>
      <w:r>
        <w:rPr>
          <w:sz w:val="24"/>
          <w:szCs w:val="24"/>
        </w:rPr>
        <w:t>программы Белоярского района «Развитие физической культуры, спорта и молодежной политики» следующие изменения:</w:t>
      </w:r>
      <w:r>
        <w:rPr>
          <w:sz w:val="24"/>
          <w:szCs w:val="24"/>
        </w:rPr>
        <w:tab/>
      </w:r>
    </w:p>
    <w:p w:rsidR="0041059A" w:rsidRDefault="002F558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>раздела 1 «Основные положения» Паспорта муниципальной программы Белоярского ра</w:t>
      </w:r>
      <w:r>
        <w:rPr>
          <w:sz w:val="24"/>
          <w:szCs w:val="24"/>
        </w:rPr>
        <w:t xml:space="preserve">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«</w:t>
      </w:r>
      <w:r>
        <w:rPr>
          <w:sz w:val="24"/>
          <w:szCs w:val="24"/>
        </w:rPr>
        <w:t>Развитие физической культуры, спорта и молодежной политики» (далее – Паспорт муниципальной программы) изложить в следующей редакции:</w:t>
      </w:r>
    </w:p>
    <w:p w:rsidR="0041059A" w:rsidRDefault="002F558E">
      <w:pPr>
        <w:ind w:right="-143" w:firstLine="72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4"/>
        <w:gridCol w:w="4356"/>
      </w:tblGrid>
      <w:tr w:rsidR="0041059A">
        <w:tc>
          <w:tcPr>
            <w:tcW w:w="5074" w:type="dxa"/>
          </w:tcPr>
          <w:p w:rsidR="0041059A" w:rsidRDefault="002F558E">
            <w:pPr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356" w:type="dxa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 w:eastAsia="en-US"/>
              </w:rPr>
              <w:t>1 668 755</w:t>
            </w:r>
            <w:r>
              <w:rPr>
                <w:sz w:val="22"/>
                <w:szCs w:val="22"/>
                <w:lang w:eastAsia="en-US"/>
              </w:rPr>
              <w:t>,9 тысяч рублей</w:t>
            </w:r>
          </w:p>
          <w:p w:rsidR="0041059A" w:rsidRDefault="004105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41059A" w:rsidRDefault="002F558E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41059A" w:rsidRDefault="002F558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2 «Показатели муниципальной программы» Паспорта муниципальной программы изложить в редакции согласно приложению 1 к настоящему постановлению;</w:t>
      </w:r>
    </w:p>
    <w:p w:rsidR="0041059A" w:rsidRDefault="002F558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раздел 3 «Структура муниципальной программы» Паспорта муниципальной программы изложить в редакции согласно </w:t>
      </w:r>
      <w:r>
        <w:rPr>
          <w:bCs/>
          <w:sz w:val="24"/>
          <w:szCs w:val="24"/>
        </w:rPr>
        <w:t>приложению 2 к настоящему постановлению;</w:t>
      </w:r>
    </w:p>
    <w:p w:rsidR="0041059A" w:rsidRDefault="002F558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3 к настоящему постановлению.»;</w:t>
      </w:r>
    </w:p>
    <w:p w:rsidR="0041059A" w:rsidRDefault="002F55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41059A" w:rsidRDefault="002F55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41059A" w:rsidRDefault="002F55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Белоярского р</w:t>
      </w:r>
      <w:r>
        <w:rPr>
          <w:sz w:val="24"/>
          <w:szCs w:val="24"/>
        </w:rPr>
        <w:t>айона по социальным вопросам Сокол Н.В.</w:t>
      </w:r>
    </w:p>
    <w:p w:rsidR="0041059A" w:rsidRDefault="0041059A">
      <w:pPr>
        <w:jc w:val="both"/>
        <w:rPr>
          <w:sz w:val="24"/>
          <w:szCs w:val="24"/>
        </w:rPr>
      </w:pPr>
    </w:p>
    <w:p w:rsidR="0041059A" w:rsidRDefault="0041059A">
      <w:pPr>
        <w:jc w:val="both"/>
        <w:rPr>
          <w:sz w:val="24"/>
          <w:szCs w:val="24"/>
        </w:rPr>
      </w:pPr>
    </w:p>
    <w:p w:rsidR="0041059A" w:rsidRDefault="0041059A">
      <w:pPr>
        <w:jc w:val="both"/>
        <w:rPr>
          <w:sz w:val="24"/>
          <w:szCs w:val="24"/>
        </w:rPr>
      </w:pPr>
    </w:p>
    <w:p w:rsidR="0041059A" w:rsidRDefault="002F558E">
      <w:pPr>
        <w:pStyle w:val="33"/>
        <w:jc w:val="left"/>
      </w:pPr>
      <w:r>
        <w:rPr>
          <w:szCs w:val="24"/>
        </w:rPr>
        <w:t>Исполняющий обязанности главы</w:t>
      </w:r>
    </w:p>
    <w:p w:rsidR="0041059A" w:rsidRDefault="002F558E">
      <w:pPr>
        <w:pStyle w:val="33"/>
        <w:jc w:val="left"/>
        <w:sectPr w:rsidR="0041059A">
          <w:pgSz w:w="11906" w:h="16838"/>
          <w:pgMar w:top="567" w:right="850" w:bottom="426" w:left="1701" w:header="708" w:footer="708" w:gutter="0"/>
          <w:cols w:space="1701"/>
          <w:docGrid w:linePitch="360"/>
        </w:sectPr>
      </w:pPr>
      <w:r>
        <w:rPr>
          <w:szCs w:val="24"/>
        </w:rPr>
        <w:t>Белоярского района                                                                                                       А.В.Ойнец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</w:t>
      </w:r>
      <w:r>
        <w:rPr>
          <w:sz w:val="24"/>
          <w:szCs w:val="24"/>
        </w:rPr>
        <w:t>страции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41059A" w:rsidRDefault="002F558E">
      <w:pPr>
        <w:tabs>
          <w:tab w:val="left" w:pos="1153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11 ноября 2025 года № 723</w:t>
      </w:r>
    </w:p>
    <w:p w:rsidR="0041059A" w:rsidRDefault="0041059A">
      <w:pPr>
        <w:tabs>
          <w:tab w:val="left" w:pos="11530"/>
        </w:tabs>
        <w:jc w:val="right"/>
        <w:rPr>
          <w:sz w:val="24"/>
          <w:szCs w:val="24"/>
        </w:rPr>
      </w:pPr>
    </w:p>
    <w:p w:rsidR="0041059A" w:rsidRDefault="002F55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 З М Е Н Е Н И Я,</w:t>
      </w:r>
    </w:p>
    <w:p w:rsidR="0041059A" w:rsidRDefault="002F558E">
      <w:pPr>
        <w:pStyle w:val="ConsPlusNormal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 w:rsidR="0041059A" w:rsidRDefault="002F558E">
      <w:pPr>
        <w:tabs>
          <w:tab w:val="left" w:pos="11530"/>
        </w:tabs>
        <w:ind w:left="1276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физической культуры, спорта и молодежной политики»</w:t>
      </w:r>
    </w:p>
    <w:p w:rsidR="0041059A" w:rsidRDefault="0041059A">
      <w:pPr>
        <w:tabs>
          <w:tab w:val="left" w:pos="11530"/>
        </w:tabs>
        <w:jc w:val="center"/>
        <w:rPr>
          <w:sz w:val="24"/>
          <w:szCs w:val="24"/>
        </w:rPr>
      </w:pPr>
    </w:p>
    <w:p w:rsidR="0041059A" w:rsidRDefault="002F558E">
      <w:pPr>
        <w:tabs>
          <w:tab w:val="left" w:pos="115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«2. Показатели муниципальной программы</w:t>
      </w:r>
    </w:p>
    <w:p w:rsidR="0041059A" w:rsidRDefault="0041059A">
      <w:pPr>
        <w:tabs>
          <w:tab w:val="left" w:pos="11530"/>
        </w:tabs>
        <w:ind w:left="10348"/>
        <w:jc w:val="right"/>
        <w:rPr>
          <w:sz w:val="24"/>
          <w:szCs w:val="24"/>
        </w:rPr>
      </w:pPr>
    </w:p>
    <w:tbl>
      <w:tblPr>
        <w:tblW w:w="15735" w:type="dxa"/>
        <w:tblInd w:w="-567" w:type="dxa"/>
        <w:tblLook w:val="04A0" w:firstRow="1" w:lastRow="0" w:firstColumn="1" w:lastColumn="0" w:noHBand="0" w:noVBand="1"/>
      </w:tblPr>
      <w:tblGrid>
        <w:gridCol w:w="525"/>
        <w:gridCol w:w="2406"/>
        <w:gridCol w:w="1055"/>
        <w:gridCol w:w="907"/>
        <w:gridCol w:w="579"/>
        <w:gridCol w:w="702"/>
        <w:gridCol w:w="703"/>
        <w:gridCol w:w="703"/>
        <w:gridCol w:w="703"/>
        <w:gridCol w:w="702"/>
        <w:gridCol w:w="621"/>
        <w:gridCol w:w="1938"/>
        <w:gridCol w:w="1402"/>
        <w:gridCol w:w="2789"/>
      </w:tblGrid>
      <w:tr w:rsidR="0041059A">
        <w:trPr>
          <w:trHeight w:val="4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Единица измерения (по ОКЕИ)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bookmarkStart w:id="0" w:name="RANGE!D13"/>
            <w:r>
              <w:rPr>
                <w:bCs/>
                <w:sz w:val="18"/>
                <w:szCs w:val="18"/>
              </w:rPr>
              <w:t>Базовое значение</w:t>
            </w:r>
            <w:bookmarkEnd w:id="0"/>
          </w:p>
        </w:tc>
        <w:tc>
          <w:tcPr>
            <w:tcW w:w="413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ind w:right="-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bookmarkStart w:id="1" w:name="RANGE!L13"/>
            <w:r>
              <w:rPr>
                <w:bCs/>
                <w:sz w:val="18"/>
                <w:szCs w:val="18"/>
              </w:rPr>
              <w:t>Документ</w:t>
            </w:r>
            <w:bookmarkEnd w:id="1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bookmarkStart w:id="2" w:name="RANGE!M13"/>
            <w:r>
              <w:rPr>
                <w:bCs/>
                <w:sz w:val="18"/>
                <w:szCs w:val="18"/>
              </w:rPr>
              <w:t>Ответственный за достижение показателя</w:t>
            </w:r>
            <w:bookmarkEnd w:id="2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41059A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значение</w:t>
            </w:r>
          </w:p>
        </w:tc>
        <w:tc>
          <w:tcPr>
            <w:tcW w:w="57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2027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2028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2029</w:t>
            </w:r>
          </w:p>
        </w:tc>
        <w:tc>
          <w:tcPr>
            <w:tcW w:w="6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2030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bCs/>
                <w:sz w:val="18"/>
                <w:szCs w:val="18"/>
              </w:rPr>
            </w:pPr>
          </w:p>
        </w:tc>
      </w:tr>
      <w:tr w:rsidR="0041059A">
        <w:trPr>
          <w:trHeight w:val="300"/>
        </w:trPr>
        <w:tc>
          <w:tcPr>
            <w:tcW w:w="5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</w:tr>
      <w:tr w:rsidR="0041059A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«Создание условий для развития физической культуры, массового спорта и молодежной политики на территории Белоярского района»</w:t>
            </w:r>
          </w:p>
        </w:tc>
      </w:tr>
      <w:tr w:rsidR="0041059A">
        <w:trPr>
          <w:trHeight w:val="1214"/>
        </w:trPr>
        <w:tc>
          <w:tcPr>
            <w:tcW w:w="5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0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ind w:left="-84" w:firstLine="84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73,8</w:t>
            </w:r>
          </w:p>
        </w:tc>
        <w:tc>
          <w:tcPr>
            <w:tcW w:w="57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2024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6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9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Постановление Правительства ХМАО - Югры от 10.11.2023 № 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14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-</w:t>
            </w:r>
            <w:r>
              <w:rPr>
                <w:rFonts w:eastAsia="SimSun"/>
                <w:sz w:val="18"/>
                <w:szCs w:val="18"/>
              </w:rPr>
              <w:t xml:space="preserve"> увеличение ожидаемой продолжительности жизни до 78 лет к 2030 году и д</w:t>
            </w:r>
            <w:r>
              <w:rPr>
                <w:rFonts w:eastAsia="SimSun"/>
                <w:sz w:val="18"/>
                <w:szCs w:val="18"/>
              </w:rPr>
              <w:t>о 81 года к 2036 году, в том числе опережающий рост показателей ожидаемой продолжительности здоровой жизни;</w:t>
            </w:r>
          </w:p>
          <w:p w:rsidR="0041059A" w:rsidRDefault="002F55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 снижение к 2030 году суммарной продолжительности временной нетрудоспособности граждан в трудоспособном возрасте на основе формирования здорового о</w:t>
            </w:r>
            <w:r>
              <w:rPr>
                <w:rFonts w:eastAsia="SimSun"/>
                <w:sz w:val="18"/>
                <w:szCs w:val="18"/>
              </w:rPr>
              <w:t>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</w:p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 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41059A">
        <w:trPr>
          <w:trHeight w:val="126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lastRenderedPageBreak/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106,9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7,3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Постановление Правительства ХМАО - Югры от 10.11.2023 № 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-</w:t>
            </w:r>
            <w:r>
              <w:rPr>
                <w:rFonts w:eastAsia="SimSun"/>
                <w:sz w:val="18"/>
                <w:szCs w:val="18"/>
              </w:rPr>
              <w:t xml:space="preserve"> увеличение ожидаемой продолжительности жизни до 78 лет к 2030 году и д</w:t>
            </w:r>
            <w:r>
              <w:rPr>
                <w:rFonts w:eastAsia="SimSun"/>
                <w:sz w:val="18"/>
                <w:szCs w:val="18"/>
              </w:rPr>
              <w:t>о 81 года к 2036 году, в том числе опережающий рост показателей ожидаемой продолжительности здоровой жизни;</w:t>
            </w:r>
          </w:p>
          <w:p w:rsidR="0041059A" w:rsidRDefault="002F55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 снижение к 2030 году суммарной продолжительности временной нетрудоспособности граждан в трудоспособном возрасте на основе формирования здорового о</w:t>
            </w:r>
            <w:r>
              <w:rPr>
                <w:rFonts w:eastAsia="SimSun"/>
                <w:sz w:val="18"/>
                <w:szCs w:val="18"/>
              </w:rPr>
              <w:t>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</w:p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 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41059A">
        <w:trPr>
          <w:trHeight w:val="8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Численность детей, вовлеченных в дополнительные образовательные программы в сфере физической культуры и спорта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2024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обеспечение к 2030 году функционирован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</w:p>
        </w:tc>
      </w:tr>
      <w:tr w:rsidR="0041059A">
        <w:trPr>
          <w:trHeight w:val="41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2024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</w:p>
          <w:p w:rsidR="0041059A" w:rsidRDefault="004105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 2030 году доли молодых людей, вовлеченных в добровольческую и общ</w:t>
            </w:r>
            <w:r>
              <w:rPr>
                <w:sz w:val="18"/>
                <w:szCs w:val="18"/>
              </w:rPr>
              <w:t>ественную деятельность, не менее чем до 45 процентов</w:t>
            </w:r>
          </w:p>
        </w:tc>
      </w:tr>
      <w:tr w:rsidR="0041059A">
        <w:trPr>
          <w:trHeight w:val="41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Доля молодых людей, участвующих в проектах и </w:t>
            </w:r>
            <w:r>
              <w:rPr>
                <w:sz w:val="18"/>
                <w:szCs w:val="18"/>
              </w:rPr>
              <w:lastRenderedPageBreak/>
              <w:t>программах, направленных на патриотической воспитание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lastRenderedPageBreak/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2024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70,06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70,96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71,86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72,76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73,66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>75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Постановление Правительства </w:t>
            </w:r>
            <w:r>
              <w:rPr>
                <w:rFonts w:eastAsia="SimSun"/>
                <w:sz w:val="18"/>
                <w:szCs w:val="18"/>
                <w:lang w:eastAsia="zh-CN" w:bidi="ar"/>
              </w:rPr>
              <w:lastRenderedPageBreak/>
              <w:t>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lastRenderedPageBreak/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увеличение к 2030 году доли молодых людей, участвующих в </w:t>
            </w:r>
            <w:r>
              <w:rPr>
                <w:rFonts w:eastAsia="SimSun"/>
                <w:sz w:val="18"/>
                <w:szCs w:val="18"/>
              </w:rPr>
              <w:lastRenderedPageBreak/>
              <w:t>проектах и программах,</w:t>
            </w:r>
            <w:r>
              <w:rPr>
                <w:rFonts w:eastAsia="SimSun"/>
                <w:sz w:val="18"/>
                <w:szCs w:val="18"/>
              </w:rPr>
              <w:t xml:space="preserve">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41059A">
        <w:trPr>
          <w:trHeight w:val="41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lastRenderedPageBreak/>
              <w:t>6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</w:t>
            </w:r>
            <w:r>
              <w:rPr>
                <w:color w:val="000000"/>
                <w:sz w:val="18"/>
                <w:szCs w:val="18"/>
              </w:rPr>
              <w:t xml:space="preserve"> духовно-нравственных  ценностей, 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2023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15,07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15,27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15,46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15,65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15,85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16,14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r>
              <w:rPr>
                <w:rFonts w:eastAsia="SimSun"/>
                <w:sz w:val="18"/>
                <w:szCs w:val="18"/>
                <w:lang w:eastAsia="zh-CN" w:bidi="ar"/>
              </w:rPr>
              <w:t>Соглашение о реализации регионального проекта «Мы вместе» (Воспитание гармонично</w:t>
            </w:r>
          </w:p>
          <w:p w:rsidR="0041059A" w:rsidRDefault="002F558E">
            <w:pPr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развитой личности) на территории Белоярского района от 01.08.2025 </w:t>
            </w:r>
          </w:p>
          <w:p w:rsidR="0041059A" w:rsidRDefault="002F558E">
            <w:pPr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>№ 2025-Ю20017-10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Pr="001707B5" w:rsidRDefault="002F558E">
            <w:pPr>
              <w:pStyle w:val="ConsPlusNormal1"/>
              <w:rPr>
                <w:lang w:val="ru-RU"/>
              </w:rPr>
            </w:pPr>
            <w:r w:rsidRPr="001707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к 2030 году условий для воспитания гармонично развитой, патриотичной и со</w:t>
            </w:r>
            <w:r w:rsidRPr="001707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41059A" w:rsidRDefault="0041059A">
            <w:pPr>
              <w:rPr>
                <w:rFonts w:eastAsia="SimSun"/>
                <w:sz w:val="18"/>
                <w:szCs w:val="18"/>
              </w:rPr>
            </w:pPr>
          </w:p>
        </w:tc>
      </w:tr>
      <w:tr w:rsidR="0041059A">
        <w:trPr>
          <w:trHeight w:val="41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развитие.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2023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33,28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41,62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49,97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58,31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66,66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75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увеличение к 2030 году доли молодых людей, участвующих в проектах и программах</w:t>
            </w:r>
            <w:r>
              <w:rPr>
                <w:rFonts w:eastAsia="SimSun"/>
                <w:sz w:val="18"/>
                <w:szCs w:val="18"/>
              </w:rPr>
              <w:t>, направленных на профессиональное, личностное развитие и патриотическое воспитание, не менее чем до 75 процентов;</w:t>
            </w:r>
          </w:p>
          <w:p w:rsidR="0041059A" w:rsidRDefault="002F558E">
            <w:pP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</w:rPr>
              <w:t>- увеличение к 2030 году доли молодых людей, верящих в возможности самореализации в России, не менее чем до 85 процентов.</w:t>
            </w:r>
          </w:p>
        </w:tc>
      </w:tr>
      <w:tr w:rsidR="0041059A">
        <w:trPr>
          <w:trHeight w:val="41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политики.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2023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7,19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14,15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21,12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,08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35,04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42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r>
              <w:rPr>
                <w:rFonts w:eastAsia="SimSun"/>
                <w:sz w:val="18"/>
                <w:szCs w:val="18"/>
                <w:lang w:eastAsia="zh-CN" w:bidi="ar"/>
              </w:rPr>
              <w:t>Соглашение о реализации регионального проекта «Россия - страна возможностей (Ханты-</w:t>
            </w:r>
          </w:p>
          <w:p w:rsidR="0041059A" w:rsidRDefault="002F558E">
            <w:r>
              <w:rPr>
                <w:rFonts w:eastAsia="SimSun"/>
                <w:sz w:val="18"/>
                <w:szCs w:val="18"/>
                <w:lang w:eastAsia="zh-CN" w:bidi="ar"/>
              </w:rPr>
              <w:t>Мансийский автономный округ - Югра)» на территории Белоярского муниципального</w:t>
            </w:r>
          </w:p>
          <w:p w:rsidR="0041059A" w:rsidRDefault="002F558E">
            <w:pPr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lastRenderedPageBreak/>
              <w:t>района от 19.06.2025</w:t>
            </w:r>
          </w:p>
          <w:p w:rsidR="0041059A" w:rsidRDefault="002F558E">
            <w:pPr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>№ 2025-Ю10025-18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lastRenderedPageBreak/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</w:rPr>
              <w:t xml:space="preserve"> увеличение к 2030 году доли молодых людей, верящих в возможности самореализации в России, не менее чем до 85 процентов.</w:t>
            </w:r>
          </w:p>
        </w:tc>
      </w:tr>
      <w:tr w:rsidR="0041059A">
        <w:trPr>
          <w:trHeight w:val="83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4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Количес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тво отдохнувших детей в возрасте от 6 до 17 лет</w:t>
            </w:r>
          </w:p>
        </w:tc>
        <w:tc>
          <w:tcPr>
            <w:tcW w:w="10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5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2024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7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7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6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19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КДМ,ФКиС</w:t>
            </w:r>
          </w:p>
        </w:tc>
        <w:tc>
          <w:tcPr>
            <w:tcW w:w="2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-</w:t>
            </w:r>
          </w:p>
        </w:tc>
      </w:tr>
    </w:tbl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41059A" w:rsidRDefault="0041059A">
      <w:pPr>
        <w:tabs>
          <w:tab w:val="left" w:pos="11530"/>
        </w:tabs>
        <w:jc w:val="both"/>
        <w:rPr>
          <w:sz w:val="24"/>
          <w:szCs w:val="24"/>
        </w:rPr>
      </w:pPr>
    </w:p>
    <w:p w:rsidR="0041059A" w:rsidRDefault="002F558E">
      <w:pPr>
        <w:pageBreakBefore/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 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41059A" w:rsidRDefault="002F558E">
      <w:pPr>
        <w:tabs>
          <w:tab w:val="left" w:pos="1153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11 ноября 2025 года № 723</w:t>
      </w:r>
    </w:p>
    <w:p w:rsidR="0041059A" w:rsidRDefault="0041059A">
      <w:pPr>
        <w:tabs>
          <w:tab w:val="left" w:pos="11530"/>
        </w:tabs>
        <w:jc w:val="right"/>
        <w:rPr>
          <w:sz w:val="24"/>
          <w:szCs w:val="24"/>
        </w:rPr>
      </w:pPr>
    </w:p>
    <w:p w:rsidR="0041059A" w:rsidRDefault="002F55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 З М Е Н Е Н И Я,</w:t>
      </w:r>
    </w:p>
    <w:p w:rsidR="0041059A" w:rsidRDefault="002F558E">
      <w:pPr>
        <w:pStyle w:val="ConsPlusNormal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 w:rsidR="0041059A" w:rsidRDefault="002F558E">
      <w:pPr>
        <w:tabs>
          <w:tab w:val="left" w:pos="11530"/>
        </w:tabs>
        <w:ind w:left="1276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физической культуры, спорта и молодежной политики»</w:t>
      </w:r>
    </w:p>
    <w:p w:rsidR="0041059A" w:rsidRDefault="0041059A">
      <w:pPr>
        <w:tabs>
          <w:tab w:val="left" w:pos="11530"/>
        </w:tabs>
        <w:ind w:left="1276"/>
        <w:jc w:val="center"/>
        <w:rPr>
          <w:sz w:val="24"/>
          <w:szCs w:val="24"/>
        </w:rPr>
      </w:pPr>
    </w:p>
    <w:p w:rsidR="0041059A" w:rsidRDefault="002F558E">
      <w:pPr>
        <w:tabs>
          <w:tab w:val="left" w:pos="11530"/>
        </w:tabs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«3. </w:t>
      </w:r>
      <w:r>
        <w:rPr>
          <w:bCs/>
          <w:sz w:val="24"/>
          <w:szCs w:val="24"/>
        </w:rPr>
        <w:t>Структура муниципальной программы</w:t>
      </w:r>
    </w:p>
    <w:p w:rsidR="0041059A" w:rsidRDefault="0041059A">
      <w:pPr>
        <w:tabs>
          <w:tab w:val="left" w:pos="11530"/>
        </w:tabs>
        <w:jc w:val="center"/>
        <w:rPr>
          <w:bCs/>
          <w:sz w:val="24"/>
          <w:szCs w:val="24"/>
        </w:rPr>
      </w:pPr>
    </w:p>
    <w:tbl>
      <w:tblPr>
        <w:tblW w:w="156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21"/>
        <w:gridCol w:w="4304"/>
        <w:gridCol w:w="7"/>
        <w:gridCol w:w="23"/>
        <w:gridCol w:w="6434"/>
        <w:gridCol w:w="11"/>
        <w:gridCol w:w="4168"/>
      </w:tblGrid>
      <w:tr w:rsidR="0041059A">
        <w:trPr>
          <w:trHeight w:val="7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Связь с показателями</w:t>
            </w:r>
          </w:p>
        </w:tc>
      </w:tr>
      <w:tr w:rsidR="0041059A">
        <w:trPr>
          <w:trHeight w:val="300"/>
          <w:tblHeader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1059A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(подпрограмма) «Развитие физической культуры и массового спорта» </w:t>
            </w:r>
          </w:p>
        </w:tc>
      </w:tr>
      <w:tr w:rsidR="0041059A">
        <w:trPr>
          <w:trHeight w:val="276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41059A">
        <w:trPr>
          <w:trHeight w:val="30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4105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КДМ,ФКиС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1059A">
        <w:trPr>
          <w:trHeight w:val="2849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развития массового спорта, успешного выступления спортсменов Белоярского района на официальных окружных, всероссийских и международных спортивных соревнованиях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Созданы условия для удовлетворения потребности населения Белоярского района</w:t>
            </w:r>
            <w:r>
              <w:rPr>
                <w:color w:val="000000"/>
                <w:sz w:val="22"/>
                <w:szCs w:val="22"/>
              </w:rPr>
              <w:t xml:space="preserve"> в оказании услуг в сфере физической культуры и спорта на базе муниципального автономного учреждения физической культуры и спорта  Белоярского района «Дворец спорта» (далее - МАУ «Дворец спорта»).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Обеспечено участие спортивных сборных команд Белоярского ра</w:t>
            </w:r>
            <w:r>
              <w:rPr>
                <w:color w:val="000000"/>
                <w:sz w:val="22"/>
                <w:szCs w:val="22"/>
              </w:rPr>
              <w:t>йона в  выездных спортивно-массовых мероприятиях.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Оказана поддержка образовательным организациям, реализующих дополнительные образовательные программы спортивной подготовки (на подготовку спортивного резерва).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сети спортивных объектов шаговой дост</w:t>
            </w:r>
            <w:r>
              <w:rPr>
                <w:sz w:val="22"/>
                <w:szCs w:val="22"/>
              </w:rPr>
              <w:t>упности.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Оказано содействие в участии немуниципальных организаций, в том числе социально ориентированных некоммерческих организаций, и социальных предпринимателей  в организации и проведении официальных физкультурных (физкультурно-оздоровительных) мероприя</w:t>
            </w:r>
            <w:r>
              <w:rPr>
                <w:sz w:val="22"/>
                <w:szCs w:val="22"/>
              </w:rPr>
              <w:t>тий и официальных спортивных мероприятий.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граждан, систематически занимающихся физической культурой и спортом.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</w:tc>
      </w:tr>
      <w:tr w:rsidR="0041059A">
        <w:trPr>
          <w:trHeight w:val="1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 «Развитие системы дополнительного образования в сфере физической культуры и спорта»</w:t>
            </w:r>
          </w:p>
        </w:tc>
      </w:tr>
      <w:tr w:rsidR="0041059A">
        <w:trPr>
          <w:trHeight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КДМ,ФКиС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1059A">
        <w:trPr>
          <w:trHeight w:val="13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развития массового спорта, успешного выступления спортсменов Белоярского района на официальных окружных, всероссийских и международных спортивных соревнованиях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Созданы условия для реализации дополнительных общеразвивающих программ в сф</w:t>
            </w:r>
            <w:r>
              <w:rPr>
                <w:color w:val="000000"/>
                <w:sz w:val="22"/>
                <w:szCs w:val="22"/>
              </w:rPr>
              <w:t>ере физической культуры и спорта на базе  муниципального бюджетного учреждения дополнительного образования Белоярского района «Спортивная школа г.Белоярский» (далее- МБУДО СШ г.Белоярский»)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Численность детей, вовлеченных в дополнительные образовательные пр</w:t>
            </w:r>
            <w:r>
              <w:rPr>
                <w:color w:val="000000"/>
                <w:sz w:val="22"/>
                <w:szCs w:val="22"/>
              </w:rPr>
              <w:t>ограммы в сфере физической культуры и спорта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(подпрограмма)  «Организация и осуществление мероприятий по работе с детьми и молодежью»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ХМАО-Югры «Россия- страна возможностей»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4105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за реализацию: КДМ,ФКиС,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культуре администрации Белоярского района,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района.</w:t>
            </w:r>
          </w:p>
        </w:tc>
        <w:tc>
          <w:tcPr>
            <w:tcW w:w="6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41059A">
            <w:pPr>
              <w:rPr>
                <w:color w:val="000000"/>
                <w:sz w:val="22"/>
                <w:szCs w:val="22"/>
              </w:rPr>
            </w:pP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равных возможностей для самореализации детей и молодежи</w:t>
            </w:r>
          </w:p>
        </w:tc>
        <w:tc>
          <w:tcPr>
            <w:tcW w:w="6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Мероприятиями по профессиональной самореализации охвачено не менее 75% молодых людей, проживающих на территории Белоярского района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молодых людей, вовлеченных в мероприятия направленные на профессиональное развитие.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молодежи мероприятиями, провод</w:t>
            </w:r>
            <w:r>
              <w:rPr>
                <w:sz w:val="22"/>
                <w:szCs w:val="22"/>
              </w:rPr>
              <w:t>имыми на базе инфраструктуры молодежной политики.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ХМАО-Югры «Мы вместе»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4105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за реализацию: КДМ,ФКиС,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культуре администрации Белоярского района,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41059A">
            <w:pPr>
              <w:rPr>
                <w:color w:val="000000"/>
                <w:sz w:val="22"/>
                <w:szCs w:val="22"/>
              </w:rPr>
            </w:pP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Реализованы мероприятия по раб</w:t>
            </w:r>
            <w:r>
              <w:rPr>
                <w:sz w:val="22"/>
                <w:szCs w:val="22"/>
              </w:rPr>
              <w:t>оте с детьми и молодежью духовно-нравственной, культурно- исторической, патриотической направленности.</w:t>
            </w:r>
          </w:p>
          <w:p w:rsidR="0041059A" w:rsidRDefault="002F558E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Совместно с региональным отделением Общероссийского общественно-государственного движения детей и молодежи «Движение первых» проведены мероприятия, напра</w:t>
            </w:r>
            <w:r>
              <w:rPr>
                <w:spacing w:val="-2"/>
                <w:sz w:val="22"/>
                <w:szCs w:val="22"/>
              </w:rPr>
              <w:t xml:space="preserve">вленные на увеличение вовлеченности отдельных категорий граждан и </w:t>
            </w:r>
            <w:r>
              <w:rPr>
                <w:spacing w:val="-2"/>
                <w:sz w:val="22"/>
                <w:szCs w:val="22"/>
              </w:rPr>
              <w:lastRenderedPageBreak/>
              <w:t>организаций в систему патриотического воспитания детей и молодежи.</w:t>
            </w:r>
          </w:p>
          <w:p w:rsidR="0041059A" w:rsidRDefault="0041059A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молодых людей, участвующих в проектах и программах, направленных на патриотической воспитание.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молодых семей, в </w:t>
            </w:r>
            <w:r>
              <w:rPr>
                <w:sz w:val="22"/>
                <w:szCs w:val="22"/>
              </w:rPr>
              <w:t>том числе молодых семей, имеющих детей, участвующих в мероприятиях по продвижению традиционных  духовно-</w:t>
            </w:r>
            <w:r>
              <w:rPr>
                <w:sz w:val="22"/>
                <w:szCs w:val="22"/>
              </w:rPr>
              <w:lastRenderedPageBreak/>
              <w:t>нравственных  ценностей, 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оля молодых людей, вовлеченных в добровольческую и общественную деятельность.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«Организация и осуществление мероприятий по работе с детьми и молодежью»</w:t>
            </w:r>
          </w:p>
        </w:tc>
      </w:tr>
      <w:tr w:rsidR="0041059A">
        <w:trPr>
          <w:trHeight w:val="1035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Ответственные за реализацию: КДМ,ФКиС, Комитет по культуре администрации Белоярского района, Комитет по образованию администрации Белоярского района.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1059A">
        <w:trPr>
          <w:trHeight w:val="184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творческого, эстетического, интеллектуального, фи</w:t>
            </w:r>
            <w:r>
              <w:rPr>
                <w:color w:val="000000"/>
                <w:sz w:val="22"/>
                <w:szCs w:val="22"/>
              </w:rPr>
              <w:t>зического развития детей, подростков и молодежи, вовлечение их в добровольческую (волонтерскую) деятельность, формирование патриотических ценностей, поддержка социально-значимых проектов, инициатив, программ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Реализованы мероприятия по работе с детьми и мол</w:t>
            </w:r>
            <w:r>
              <w:rPr>
                <w:color w:val="000000"/>
                <w:sz w:val="22"/>
                <w:szCs w:val="22"/>
              </w:rPr>
              <w:t>одежью творческой, эстетической, интеллектуальной, физической, духовно-нравственной, патриотической направленности.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>Обеспечена деятельность муниципального бюджетного учреждения  Белоярского района «Многофункциональный молодежный  центр «Спутник» (далее- МБ</w:t>
            </w:r>
            <w:r>
              <w:rPr>
                <w:color w:val="000000"/>
                <w:sz w:val="22"/>
                <w:szCs w:val="22"/>
              </w:rPr>
              <w:t>У ММЦ «Спутник»).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>Реализованы мероприятия по содействию занятости молодежи.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Реализованы мероприятия, направленные на поддержку добровольчества (волонтерства).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деятельность.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молодежи мер</w:t>
            </w:r>
            <w:r>
              <w:rPr>
                <w:sz w:val="22"/>
                <w:szCs w:val="22"/>
              </w:rPr>
              <w:t>оприятиями, проводимыми на базе инфраструктуры молодежной политики.</w:t>
            </w:r>
          </w:p>
          <w:p w:rsidR="0041059A" w:rsidRDefault="0041059A">
            <w:pPr>
              <w:rPr>
                <w:color w:val="000000"/>
                <w:sz w:val="22"/>
                <w:szCs w:val="22"/>
              </w:rPr>
            </w:pPr>
          </w:p>
        </w:tc>
      </w:tr>
      <w:tr w:rsidR="0041059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(подпрограмма) «Организация отдыха и оздоровления детей»</w:t>
            </w:r>
          </w:p>
        </w:tc>
      </w:tr>
      <w:tr w:rsidR="0041059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«Организация отдыха и оздоровления детей»</w:t>
            </w:r>
          </w:p>
        </w:tc>
      </w:tr>
      <w:tr w:rsidR="0041059A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за реализацию: КДМ,ФКиС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1059A">
        <w:trPr>
          <w:trHeight w:val="1164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условий для отдыха и оздоровления детей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</w:t>
            </w:r>
            <w:r>
              <w:rPr>
                <w:color w:val="000000"/>
                <w:sz w:val="22"/>
                <w:szCs w:val="22"/>
              </w:rPr>
              <w:t>даны благоприятные условия для организации отдыха детей в каникулярное время на базе   муниципального автономного учреждения физической культуры и спорта  Белоярского района  «База спорта и отдыха «Северянка» (далее- МАУ «База спорта и отдыха «Северянка»).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Предоставлены путевки детям  в возрасте от 6 до 17 лет  в организации, обеспечивающие отдых и оздоровление детей. 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Организованы отдых и оздоровление детей в оздоровительных </w:t>
            </w:r>
            <w:r>
              <w:rPr>
                <w:color w:val="000000"/>
                <w:sz w:val="22"/>
                <w:szCs w:val="22"/>
              </w:rPr>
              <w:lastRenderedPageBreak/>
              <w:t>учреждениях различных типов на территории Белоярского района.</w:t>
            </w:r>
          </w:p>
          <w:p w:rsidR="0041059A" w:rsidRDefault="002F558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Оказано содействие в</w:t>
            </w:r>
            <w:r>
              <w:rPr>
                <w:sz w:val="22"/>
                <w:szCs w:val="22"/>
              </w:rPr>
              <w:t xml:space="preserve"> участии немуниципальных организаций, в том числе социально ориентированных некоммерческих организаций, и социальных предпринимателей  в организации отдыха детей и молодежи (в каникулярное время с круглосуточным пребыванием).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Количество отдохнувших детей в</w:t>
            </w:r>
            <w:r>
              <w:rPr>
                <w:color w:val="000000"/>
                <w:sz w:val="22"/>
                <w:szCs w:val="22"/>
              </w:rPr>
              <w:t xml:space="preserve"> возрасте от 6 до 17 лет</w:t>
            </w:r>
          </w:p>
        </w:tc>
      </w:tr>
      <w:tr w:rsidR="0041059A">
        <w:trPr>
          <w:trHeight w:val="3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«Создание условий для организации отдыха и оздоровления детей»</w:t>
            </w:r>
          </w:p>
        </w:tc>
      </w:tr>
      <w:tr w:rsidR="0041059A">
        <w:trPr>
          <w:trHeight w:val="2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организации отдыха и оздоровления детей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стоимости проезда к местам сбора организованных групп и обратно детям, проявившим способности в сфере физической культуры и спорта.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Оплата услуг лиц, сопровождающих детей к местам сбора организованных групп и обратно детям, проявившим способности в </w:t>
            </w:r>
            <w:r>
              <w:rPr>
                <w:sz w:val="22"/>
                <w:szCs w:val="22"/>
              </w:rPr>
              <w:t>сфере физической культуры и спорта.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Обеспечено участие специалистов, в том числе немуниципальных организаций,  в обучающих семинарах и совещаниях организаторов оздоровления, отдыха, занятости детей, организация контроля за деятельностью детских оздоровител</w:t>
            </w:r>
            <w:r>
              <w:rPr>
                <w:sz w:val="22"/>
                <w:szCs w:val="22"/>
              </w:rPr>
              <w:t>ьных учреждений.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отдохнувших детей в возрасте от 6 до 17 лет</w:t>
            </w:r>
          </w:p>
        </w:tc>
      </w:tr>
      <w:tr w:rsidR="0041059A">
        <w:trPr>
          <w:trHeight w:val="27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(подпрограмма) «Повышение безопасности, комфортности и доступности объектов в подведомственных учреждениях»</w:t>
            </w:r>
          </w:p>
        </w:tc>
      </w:tr>
      <w:tr w:rsidR="0041059A">
        <w:trPr>
          <w:trHeight w:val="33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«Развитие отраслевой инфраструктуры»</w:t>
            </w:r>
          </w:p>
        </w:tc>
      </w:tr>
      <w:tr w:rsidR="0041059A">
        <w:trPr>
          <w:trHeight w:val="33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</w:t>
            </w:r>
            <w:r>
              <w:rPr>
                <w:sz w:val="22"/>
                <w:szCs w:val="22"/>
              </w:rPr>
              <w:t>ный за реализацию: КДМ,ФКиС, Управление капитального строительства администрации Белоярского района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1059A">
        <w:trPr>
          <w:trHeight w:val="303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улучшения качества и увеличения объема услуг, предоставляемых населению, развитие инфраструктуры подведомственных учреждений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</w:t>
            </w:r>
            <w:r>
              <w:rPr>
                <w:sz w:val="22"/>
                <w:szCs w:val="22"/>
              </w:rPr>
              <w:t>пление материально-технической базы учреждений физической культуры и спорта.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Развитие материально-техничес</w:t>
            </w:r>
            <w:r>
              <w:rPr>
                <w:sz w:val="22"/>
                <w:szCs w:val="22"/>
              </w:rPr>
              <w:t>кой базы учреждений физической культуры и спорта: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- строительство дополнительного корпуса для реабилитации граждан МАУ «База спорта и отдыха «Северянка»;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строительство (реконструкция)  спортивного зала в с.Казым;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- строительство (реконструкция) универсал</w:t>
            </w:r>
            <w:r>
              <w:rPr>
                <w:sz w:val="22"/>
                <w:szCs w:val="22"/>
              </w:rPr>
              <w:t>ьного спортивного зала «Олимп» г. Белоярский;</w:t>
            </w:r>
          </w:p>
          <w:p w:rsidR="0041059A" w:rsidRDefault="002F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строительство спортивного центра с плавательным бассейном в </w:t>
            </w:r>
            <w:r>
              <w:rPr>
                <w:sz w:val="22"/>
                <w:szCs w:val="22"/>
              </w:rPr>
              <w:lastRenderedPageBreak/>
              <w:t>городе Белоярский.</w:t>
            </w:r>
          </w:p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благоприятных условий  для жизнедеятельности  инвалидов  и других маломобильн</w:t>
            </w:r>
            <w:r>
              <w:rPr>
                <w:color w:val="000000"/>
                <w:sz w:val="22"/>
                <w:szCs w:val="22"/>
              </w:rPr>
              <w:t>ых групп населения в подведомственных учреж</w:t>
            </w:r>
            <w:r>
              <w:rPr>
                <w:color w:val="000000"/>
                <w:sz w:val="22"/>
                <w:szCs w:val="22"/>
              </w:rPr>
              <w:t>дениях.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Доля граждан, систематически занимающихся физической культурой и спортом.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>Количество отдохнувших детей в возрасте от 6 до 17 лет</w:t>
            </w:r>
          </w:p>
        </w:tc>
      </w:tr>
      <w:tr w:rsidR="0041059A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Направление (подпрограмма) «Создание условий для реализации мероприятий муниципальной программы»</w:t>
            </w:r>
          </w:p>
        </w:tc>
      </w:tr>
      <w:tr w:rsidR="0041059A">
        <w:trPr>
          <w:trHeight w:val="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«Обеспечение деятельности органов местного самоуправления Белоярского района»</w:t>
            </w:r>
          </w:p>
        </w:tc>
      </w:tr>
      <w:tr w:rsidR="0041059A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Ответственный: КДМ,ФКиС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1059A">
        <w:trPr>
          <w:trHeight w:val="720"/>
        </w:trPr>
        <w:tc>
          <w:tcPr>
            <w:tcW w:w="7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функций управления в сфере физической культуры, спорта и молодежной политики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Комитета по делам молодежи, физической культуре и спорту администрации Белоярского района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»;</w:t>
      </w:r>
    </w:p>
    <w:p w:rsidR="0041059A" w:rsidRDefault="002F558E">
      <w:pPr>
        <w:pageBreakBefore/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1059A" w:rsidRDefault="002F558E">
      <w:pPr>
        <w:tabs>
          <w:tab w:val="left" w:pos="11530"/>
        </w:tabs>
        <w:ind w:left="10348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41059A" w:rsidRDefault="002F558E">
      <w:pPr>
        <w:tabs>
          <w:tab w:val="left" w:pos="1153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11 ноября 2025 года № 723</w:t>
      </w:r>
    </w:p>
    <w:p w:rsidR="0041059A" w:rsidRDefault="0041059A">
      <w:pPr>
        <w:tabs>
          <w:tab w:val="left" w:pos="11530"/>
        </w:tabs>
        <w:jc w:val="right"/>
        <w:rPr>
          <w:sz w:val="24"/>
          <w:szCs w:val="24"/>
        </w:rPr>
      </w:pPr>
    </w:p>
    <w:p w:rsidR="0041059A" w:rsidRDefault="002F55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 З М Е Н Е Н И Я,</w:t>
      </w:r>
    </w:p>
    <w:p w:rsidR="0041059A" w:rsidRDefault="002F558E">
      <w:pPr>
        <w:pStyle w:val="ConsPlusNormal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 w:rsidR="0041059A" w:rsidRDefault="002F558E">
      <w:pPr>
        <w:tabs>
          <w:tab w:val="left" w:pos="11530"/>
        </w:tabs>
        <w:ind w:left="1276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физической культуры, спорта и молодежной политики»</w:t>
      </w:r>
    </w:p>
    <w:p w:rsidR="0041059A" w:rsidRDefault="0041059A">
      <w:pPr>
        <w:tabs>
          <w:tab w:val="left" w:pos="11530"/>
        </w:tabs>
        <w:jc w:val="center"/>
        <w:rPr>
          <w:sz w:val="24"/>
          <w:szCs w:val="24"/>
        </w:rPr>
      </w:pPr>
    </w:p>
    <w:p w:rsidR="0041059A" w:rsidRDefault="002F558E">
      <w:pPr>
        <w:tabs>
          <w:tab w:val="left" w:pos="115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«4. Финансовое обеспечение муниципальной программы</w:t>
      </w:r>
    </w:p>
    <w:p w:rsidR="0041059A" w:rsidRDefault="0041059A">
      <w:pPr>
        <w:tabs>
          <w:tab w:val="left" w:pos="396"/>
        </w:tabs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14596" w:type="dxa"/>
        <w:tblInd w:w="5" w:type="dxa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992"/>
        <w:gridCol w:w="992"/>
        <w:gridCol w:w="992"/>
        <w:gridCol w:w="993"/>
        <w:gridCol w:w="1417"/>
        <w:gridCol w:w="1418"/>
      </w:tblGrid>
      <w:tr w:rsidR="0041059A">
        <w:trPr>
          <w:trHeight w:val="3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по годам, тыс. рублей</w:t>
            </w:r>
          </w:p>
        </w:tc>
      </w:tr>
      <w:tr w:rsidR="0041059A">
        <w:trPr>
          <w:trHeight w:val="40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41059A">
        <w:trPr>
          <w:trHeight w:val="54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«Развитие физической культуры, спорта и молодежной политики» (всего),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282 551,9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272 108,8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278 523,8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278 523,8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278 523,8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278 523,8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1 668 755,9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31 259,9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30 559,9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30 609,9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30 609,9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30 609,9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30 609,9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184 259,4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251 292,0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241 548,9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247 913,9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247 913,9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247 913,9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247 913,9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1 484 496,5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налоговых расходов Белоярского района (справочно)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1059A">
        <w:trPr>
          <w:trHeight w:val="64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физической культуры и массового спорта "  (всего),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102 902,7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100 629,2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103 997,2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103 997,2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103 997,2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103 997,2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619 520,7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6 008,3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5 308,3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5 308,3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5 308,3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5 308,3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5 308,3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32 549,8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96 894,4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95 320,9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98 688,9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98 688,9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98 688,9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98 688,9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586 970,9</w:t>
            </w:r>
          </w:p>
        </w:tc>
      </w:tr>
      <w:tr w:rsidR="0041059A">
        <w:trPr>
          <w:trHeight w:val="61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"Обеспечение деятельности МАУ ФКиС Белоярского района «Дворец спорта»"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92 001,7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89 728,2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554 114,7</w:t>
            </w:r>
          </w:p>
        </w:tc>
      </w:tr>
      <w:tr w:rsidR="0041059A">
        <w:trPr>
          <w:trHeight w:val="34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1059A">
        <w:trPr>
          <w:trHeight w:val="37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91 301,7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89 728,2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93 096,2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553 414,7</w:t>
            </w:r>
          </w:p>
        </w:tc>
      </w:tr>
      <w:tr w:rsidR="0041059A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"Участие спортивных сборных команд Белоярского района в спортивно-массовых мероприятиях"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31 879,2</w:t>
            </w:r>
          </w:p>
        </w:tc>
      </w:tr>
      <w:tr w:rsidR="0041059A">
        <w:trPr>
          <w:trHeight w:val="39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31 879,2</w:t>
            </w:r>
          </w:p>
        </w:tc>
      </w:tr>
      <w:tr w:rsidR="0041059A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"Поддержка физкультурно-спортивных организаций, осуществляющих подготовку спортивного резерва" всего,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1 946,4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1 946,4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1 946,4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1 946,4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1 946,4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1 946,4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11 678,4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1 849,0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1 849,0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1 849,0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1 849,0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1 849,0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11 094,0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584,4</w:t>
            </w:r>
          </w:p>
        </w:tc>
      </w:tr>
      <w:tr w:rsidR="0041059A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"Развитие сети спортивных объектов шаговой доступности" всего,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21 848,4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20 755,8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182,1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182,1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182,1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1 092,6</w:t>
            </w:r>
          </w:p>
        </w:tc>
      </w:tr>
      <w:tr w:rsidR="0041059A">
        <w:trPr>
          <w:trHeight w:val="69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системы дополнительного образования в сфере физической культуры и спорта"  (всего),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50 350,4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47 279,7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286 473,7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50 350,4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47 279,7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286 473,7</w:t>
            </w:r>
          </w:p>
        </w:tc>
      </w:tr>
      <w:tr w:rsidR="0041059A">
        <w:trPr>
          <w:trHeight w:val="69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"Обеспечение деятельности  МБУ дополнительного образования Белоярского района "Спортивная школа г.Белоярский"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50 350,4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47 279,7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286 473,7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50 350,4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47 279,7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47 210,9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286 473,7</w:t>
            </w:r>
          </w:p>
        </w:tc>
      </w:tr>
      <w:tr w:rsidR="0041059A">
        <w:trPr>
          <w:trHeight w:val="70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"Организация и осуществление мероприятий по работе с детьми и молодежью"  (всего),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38 526,0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40 623,7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40 665,0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40 665,0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40 665,0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40 665,0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241 809,7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7 619,9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7 619,9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45 919,4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30 906,1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33 003,8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32 995,1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32 995,1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32 995,1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32 995,1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195 890,3</w:t>
            </w:r>
          </w:p>
        </w:tc>
      </w:tr>
      <w:tr w:rsidR="0041059A">
        <w:trPr>
          <w:trHeight w:val="63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"Реализация мероприятий по работе с детьми и молодежью"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1 473,0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10 147,5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1 473,0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1 734,9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10 147,5</w:t>
            </w:r>
          </w:p>
        </w:tc>
      </w:tr>
      <w:tr w:rsidR="0041059A">
        <w:trPr>
          <w:trHeight w:val="58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"Обеспечение деятельности МБУ Белоярского района "Многофункциональный молодежный  центр "Спутник"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26 473,4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25 441,3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153 645,1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26 473,4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25 441,3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25 432,6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153 645,1</w:t>
            </w:r>
          </w:p>
        </w:tc>
      </w:tr>
      <w:tr w:rsidR="0041059A">
        <w:trPr>
          <w:trHeight w:val="63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"Реализация мероприятий по содействию занятости молодежи" всего,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10 487,8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13 355,7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13 405,7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13 405,7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13 405,7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13 405,7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77 466,3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7 619,9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7 619,9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45 919,4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2 867,9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31 546,9</w:t>
            </w:r>
          </w:p>
        </w:tc>
      </w:tr>
      <w:tr w:rsidR="0041059A">
        <w:trPr>
          <w:trHeight w:val="66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"Реализация мероприятий, направленных на поддержку добровольчества (волонтерства)"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550,8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550,8</w:t>
            </w:r>
          </w:p>
        </w:tc>
      </w:tr>
      <w:tr w:rsidR="0041059A">
        <w:trPr>
          <w:trHeight w:val="58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"Организация отдыха и оздоровления детей" (всего), в том числе: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68 948,9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62 733,6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65 782,8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65 782,8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65 782,8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65 782,8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394 813,7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17 631,7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17 631,7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17 631,7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17 631,7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17 631,7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17 631,7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105 790,2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51 317,2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45 101,9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48 151,1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48 151,1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48 151,1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289 023,5</w:t>
            </w:r>
          </w:p>
        </w:tc>
      </w:tr>
      <w:tr w:rsidR="0041059A">
        <w:trPr>
          <w:trHeight w:val="7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"Обеспечение деятельности МАУ ФКиС Белоярского района "База спорта и отдыха "Северянка"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44 707,7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286 622,7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44 707,7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47 756,9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286 622,7</w:t>
            </w:r>
          </w:p>
        </w:tc>
      </w:tr>
      <w:tr w:rsidR="0041059A">
        <w:trPr>
          <w:trHeight w:val="93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"Организация отдыха и оздоровления детей в лагере с дневным пребыванием детей на базе учреждений физической культуры и спорта"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910,4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5 284,4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2 883,6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2 400,8</w:t>
            </w:r>
          </w:p>
        </w:tc>
      </w:tr>
      <w:tr w:rsidR="0041059A">
        <w:trPr>
          <w:trHeight w:val="73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1707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"Предоставление детям  в возрасте от 6 до 17 лет путевок в организации, обеспечивающие отдых и оздоровление детей"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102 906,6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17 151,1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102 906,6</w:t>
            </w:r>
          </w:p>
        </w:tc>
      </w:tr>
      <w:tr w:rsidR="0041059A">
        <w:trPr>
          <w:trHeight w:val="566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059A" w:rsidRDefault="002F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"Создание условий для организации отдыха и оздоровления детей"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1 188,0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1 188,0</w:t>
            </w:r>
          </w:p>
        </w:tc>
      </w:tr>
      <w:tr w:rsidR="0041059A">
        <w:trPr>
          <w:trHeight w:val="36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 w:rsidP="001707B5">
            <w:pPr>
              <w:jc w:val="center"/>
              <w:rPr>
                <w:color w:val="000000"/>
                <w:sz w:val="18"/>
                <w:szCs w:val="18"/>
              </w:rPr>
            </w:pPr>
            <w:bookmarkStart w:id="3" w:name="_GoBack"/>
            <w:bookmarkEnd w:id="3"/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отраслевой инфраструктуры»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 w:rsidP="00170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1059A">
        <w:trPr>
          <w:trHeight w:val="67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 w:rsidP="001707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органов местного самоуправления Белоярского района"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21 625,9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20 644,6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124 950,1</w:t>
            </w:r>
          </w:p>
        </w:tc>
      </w:tr>
      <w:tr w:rsidR="0041059A">
        <w:trPr>
          <w:trHeight w:val="39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 w:rsidP="00170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21 625,9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20 644,6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124 950,1</w:t>
            </w:r>
          </w:p>
        </w:tc>
      </w:tr>
      <w:tr w:rsidR="0041059A">
        <w:trPr>
          <w:trHeight w:val="60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1707B5" w:rsidP="001707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"Обеспечение функций управления в сфере физической культуры, спорта и молодежной политики"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21 625,9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20 644,6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124 950,1</w:t>
            </w:r>
          </w:p>
        </w:tc>
      </w:tr>
      <w:tr w:rsidR="0041059A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410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9A" w:rsidRDefault="002F5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21 625,9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20 644,6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059A" w:rsidRDefault="002F558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124 950,1</w:t>
            </w:r>
          </w:p>
        </w:tc>
      </w:tr>
    </w:tbl>
    <w:p w:rsidR="0041059A" w:rsidRDefault="002F558E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41059A" w:rsidRDefault="0041059A">
      <w:pPr>
        <w:jc w:val="right"/>
        <w:rPr>
          <w:sz w:val="24"/>
          <w:szCs w:val="24"/>
        </w:rPr>
      </w:pPr>
    </w:p>
    <w:p w:rsidR="0041059A" w:rsidRDefault="0041059A">
      <w:pPr>
        <w:jc w:val="right"/>
        <w:rPr>
          <w:sz w:val="24"/>
          <w:szCs w:val="24"/>
        </w:rPr>
      </w:pPr>
    </w:p>
    <w:p w:rsidR="0041059A" w:rsidRDefault="002F558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41059A">
      <w:pgSz w:w="16838" w:h="11906" w:orient="landscape"/>
      <w:pgMar w:top="993" w:right="1134" w:bottom="568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58E" w:rsidRDefault="002F558E">
      <w:r>
        <w:separator/>
      </w:r>
    </w:p>
  </w:endnote>
  <w:endnote w:type="continuationSeparator" w:id="0">
    <w:p w:rsidR="002F558E" w:rsidRDefault="002F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58E" w:rsidRDefault="002F558E">
      <w:r>
        <w:separator/>
      </w:r>
    </w:p>
  </w:footnote>
  <w:footnote w:type="continuationSeparator" w:id="0">
    <w:p w:rsidR="002F558E" w:rsidRDefault="002F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8EB"/>
    <w:multiLevelType w:val="hybridMultilevel"/>
    <w:tmpl w:val="9ACAE186"/>
    <w:lvl w:ilvl="0" w:tplc="879E20A6">
      <w:start w:val="1"/>
      <w:numFmt w:val="decimal"/>
      <w:lvlText w:val="%1)"/>
      <w:lvlJc w:val="left"/>
      <w:pPr>
        <w:ind w:left="1428" w:hanging="360"/>
      </w:pPr>
    </w:lvl>
    <w:lvl w:ilvl="1" w:tplc="CB6475E6">
      <w:start w:val="1"/>
      <w:numFmt w:val="lowerLetter"/>
      <w:lvlText w:val="%2."/>
      <w:lvlJc w:val="left"/>
      <w:pPr>
        <w:ind w:left="2148" w:hanging="360"/>
      </w:pPr>
    </w:lvl>
    <w:lvl w:ilvl="2" w:tplc="7A2C8E5C">
      <w:start w:val="1"/>
      <w:numFmt w:val="lowerRoman"/>
      <w:lvlText w:val="%3."/>
      <w:lvlJc w:val="right"/>
      <w:pPr>
        <w:ind w:left="2868" w:hanging="180"/>
      </w:pPr>
    </w:lvl>
    <w:lvl w:ilvl="3" w:tplc="D1DA214A">
      <w:start w:val="1"/>
      <w:numFmt w:val="decimal"/>
      <w:lvlText w:val="%4."/>
      <w:lvlJc w:val="left"/>
      <w:pPr>
        <w:ind w:left="3588" w:hanging="360"/>
      </w:pPr>
    </w:lvl>
    <w:lvl w:ilvl="4" w:tplc="6F322FBC">
      <w:start w:val="1"/>
      <w:numFmt w:val="lowerLetter"/>
      <w:lvlText w:val="%5."/>
      <w:lvlJc w:val="left"/>
      <w:pPr>
        <w:ind w:left="4308" w:hanging="360"/>
      </w:pPr>
    </w:lvl>
    <w:lvl w:ilvl="5" w:tplc="94FC0A1A">
      <w:start w:val="1"/>
      <w:numFmt w:val="lowerRoman"/>
      <w:lvlText w:val="%6."/>
      <w:lvlJc w:val="right"/>
      <w:pPr>
        <w:ind w:left="5028" w:hanging="180"/>
      </w:pPr>
    </w:lvl>
    <w:lvl w:ilvl="6" w:tplc="C2D4E0CE">
      <w:start w:val="1"/>
      <w:numFmt w:val="decimal"/>
      <w:lvlText w:val="%7."/>
      <w:lvlJc w:val="left"/>
      <w:pPr>
        <w:ind w:left="5748" w:hanging="360"/>
      </w:pPr>
    </w:lvl>
    <w:lvl w:ilvl="7" w:tplc="EB4418C6">
      <w:start w:val="1"/>
      <w:numFmt w:val="lowerLetter"/>
      <w:lvlText w:val="%8."/>
      <w:lvlJc w:val="left"/>
      <w:pPr>
        <w:ind w:left="6468" w:hanging="360"/>
      </w:pPr>
    </w:lvl>
    <w:lvl w:ilvl="8" w:tplc="CF72E56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59A"/>
    <w:rsid w:val="001707B5"/>
    <w:rsid w:val="002F558E"/>
    <w:rsid w:val="004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DC05"/>
  <w15:docId w15:val="{092A68A3-77E1-4D06-93AE-BDDB27CF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39"/>
    <w:rPr>
      <w:rFonts w:eastAsia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llowedHyperlink"/>
    <w:uiPriority w:val="99"/>
    <w:rPr>
      <w:color w:val="800080"/>
      <w:u w:val="single"/>
    </w:rPr>
  </w:style>
  <w:style w:type="character" w:styleId="afb">
    <w:name w:val="annotation reference"/>
    <w:uiPriority w:val="99"/>
    <w:rPr>
      <w:sz w:val="16"/>
      <w:szCs w:val="16"/>
    </w:rPr>
  </w:style>
  <w:style w:type="character" w:styleId="afc">
    <w:name w:val="page number"/>
  </w:style>
  <w:style w:type="paragraph" w:styleId="afd">
    <w:name w:val="Balloon Text"/>
    <w:basedOn w:val="a"/>
    <w:link w:val="afe"/>
    <w:uiPriority w:val="99"/>
    <w:unhideWhenUsed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0">
    <w:name w:val="Текст Знак"/>
    <w:link w:val="aff"/>
    <w:uiPriority w:val="99"/>
    <w:rPr>
      <w:sz w:val="22"/>
      <w:szCs w:val="21"/>
      <w:lang w:eastAsia="en-US"/>
    </w:rPr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link w:val="aff1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customStyle="1" w:styleId="aff4">
    <w:name w:val="Тема примечания Знак"/>
    <w:link w:val="aff3"/>
    <w:uiPriority w:val="99"/>
    <w:rPr>
      <w:rFonts w:ascii="Times New Roman" w:eastAsia="Times New Roman" w:hAnsi="Times New Roman"/>
      <w:b/>
      <w:bCs/>
      <w:lang w:eastAsia="en-US"/>
    </w:r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d">
    <w:name w:val="Нижний колонтитул Знак"/>
    <w:link w:val="ac"/>
    <w:uiPriority w:val="99"/>
    <w:rPr>
      <w:rFonts w:ascii="Times New Roman" w:eastAsia="Times New Roman" w:hAnsi="Times New Roman"/>
      <w:sz w:val="24"/>
      <w:szCs w:val="24"/>
      <w:lang w:eastAsia="en-US"/>
    </w:rPr>
  </w:style>
  <w:style w:type="paragraph" w:styleId="aff5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10">
    <w:name w:val="Знак1 Знак Знак Знак1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</w:rPr>
  </w:style>
  <w:style w:type="character" w:customStyle="1" w:styleId="Heading1Char">
    <w:name w:val="Heading 1 Char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rPr>
      <w:rFonts w:cs="Times New Roman"/>
      <w:sz w:val="28"/>
      <w:lang w:val="ru-RU" w:eastAsia="ru-RU" w:bidi="ar-SA"/>
    </w:rPr>
  </w:style>
  <w:style w:type="paragraph" w:customStyle="1" w:styleId="13">
    <w:name w:val="Без интервала1"/>
    <w:rPr>
      <w:rFonts w:eastAsia="Times New Roman" w:cs="Calibri"/>
      <w:sz w:val="22"/>
      <w:szCs w:val="22"/>
    </w:rPr>
  </w:style>
  <w:style w:type="character" w:customStyle="1" w:styleId="HTML1">
    <w:name w:val="Стандартный HTML Знак1"/>
    <w:uiPriority w:val="99"/>
    <w:rPr>
      <w:rFonts w:ascii="Courier New" w:eastAsia="Times New Roman" w:hAnsi="Courier New" w:cs="Courier New"/>
    </w:rPr>
  </w:style>
  <w:style w:type="paragraph" w:styleId="aff6">
    <w:name w:val="No Spacing"/>
    <w:rPr>
      <w:rFonts w:eastAsia="Times New Roman" w:cs="Calibri"/>
      <w:sz w:val="22"/>
      <w:szCs w:val="22"/>
    </w:rPr>
  </w:style>
  <w:style w:type="paragraph" w:customStyle="1" w:styleId="aff7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7">
    <w:name w:val="Без интервала2"/>
    <w:rPr>
      <w:rFonts w:eastAsia="Times New Roman" w:cs="Calibri"/>
      <w:sz w:val="22"/>
      <w:szCs w:val="22"/>
    </w:rPr>
  </w:style>
  <w:style w:type="paragraph" w:customStyle="1" w:styleId="111">
    <w:name w:val="Знак Знак Знак Знак1 Знак Знак1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table" w:customStyle="1" w:styleId="TableGrid1">
    <w:name w:val="TableGrid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Верхний колонтитул1"/>
    <w:basedOn w:val="a"/>
    <w:next w:val="aa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15">
    <w:name w:val="Нижний колонтитул1"/>
    <w:basedOn w:val="a"/>
    <w:next w:val="ac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6">
    <w:name w:val="Верхний колонтитул Знак1"/>
    <w:uiPriority w:val="99"/>
    <w:rPr>
      <w:rFonts w:ascii="Calibri" w:eastAsia="Calibri" w:hAnsi="Calibri" w:cs="Calibri"/>
      <w:color w:val="000000"/>
    </w:rPr>
  </w:style>
  <w:style w:type="character" w:customStyle="1" w:styleId="17">
    <w:name w:val="Нижний колонтитул Знак1"/>
    <w:uiPriority w:val="99"/>
    <w:rPr>
      <w:rFonts w:ascii="Calibri" w:eastAsia="Calibri" w:hAnsi="Calibri" w:cs="Calibri"/>
      <w:color w:val="00000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1"/>
      <w:szCs w:val="21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21"/>
      <w:szCs w:val="21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1"/>
      <w:szCs w:val="21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21"/>
      <w:szCs w:val="21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6">
    <w:name w:val="xl96"/>
    <w:basedOn w:val="a"/>
    <w:pPr>
      <w:shd w:val="clear" w:color="000000" w:fill="FFFF00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21"/>
      <w:szCs w:val="21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21"/>
      <w:szCs w:val="21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2">
    <w:name w:val="xl10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1"/>
      <w:szCs w:val="21"/>
    </w:rPr>
  </w:style>
  <w:style w:type="paragraph" w:customStyle="1" w:styleId="xl105">
    <w:name w:val="xl105"/>
    <w:basedOn w:val="a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xl106">
    <w:name w:val="xl10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0">
    <w:name w:val="xl11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2">
    <w:name w:val="xl11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4">
    <w:name w:val="xl11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7">
    <w:name w:val="xl11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20">
    <w:name w:val="xl12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21">
    <w:name w:val="xl12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125">
    <w:name w:val="xl1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126">
    <w:name w:val="xl12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28">
    <w:name w:val="xl12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29">
    <w:name w:val="xl12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32">
    <w:name w:val="xl13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4">
    <w:name w:val="xl64"/>
    <w:basedOn w:val="a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aff8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Основной"/>
    <w:basedOn w:val="a"/>
    <w:pPr>
      <w:spacing w:after="20"/>
      <w:ind w:firstLine="709"/>
      <w:jc w:val="both"/>
    </w:pPr>
    <w:rPr>
      <w:sz w:val="28"/>
      <w:szCs w:val="28"/>
    </w:rPr>
  </w:style>
  <w:style w:type="table" w:customStyle="1" w:styleId="18">
    <w:name w:val="Сетка таблицы1"/>
    <w:basedOn w:val="a1"/>
    <w:rPr>
      <w:rFonts w:eastAsia="Times New Roman"/>
    </w:rPr>
    <w:tblPr/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</w:rPr>
  </w:style>
  <w:style w:type="table" w:customStyle="1" w:styleId="112">
    <w:name w:val="Сетка таблицы11"/>
    <w:basedOn w:val="a1"/>
    <w:uiPriority w:val="59"/>
    <w:tblPr/>
  </w:style>
  <w:style w:type="character" w:customStyle="1" w:styleId="37">
    <w:name w:val="Основной текст (3)_"/>
    <w:link w:val="38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pPr>
      <w:widowControl w:val="0"/>
      <w:shd w:val="clear" w:color="auto" w:fill="FFFFFF"/>
      <w:spacing w:after="420"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table" w:customStyle="1" w:styleId="28">
    <w:name w:val="Сетка таблицы2"/>
    <w:basedOn w:val="a1"/>
    <w:uiPriority w:val="39"/>
    <w:rPr>
      <w:rFonts w:eastAsia="Times New Roman"/>
    </w:rPr>
    <w:tblPr/>
  </w:style>
  <w:style w:type="table" w:customStyle="1" w:styleId="210">
    <w:name w:val="Сетка таблицы21"/>
    <w:basedOn w:val="a1"/>
    <w:uiPriority w:val="39"/>
    <w:rPr>
      <w:rFonts w:eastAsia="Times New Roman"/>
    </w:rPr>
    <w:tblPr/>
  </w:style>
  <w:style w:type="table" w:customStyle="1" w:styleId="TableGrid11">
    <w:name w:val="TableGrid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rPr>
      <w:rFonts w:eastAsia="Times New Roman"/>
    </w:rPr>
    <w:tblPr/>
  </w:style>
  <w:style w:type="table" w:customStyle="1" w:styleId="1110">
    <w:name w:val="Сетка таблицы111"/>
    <w:basedOn w:val="a1"/>
    <w:uiPriority w:val="59"/>
    <w:tblPr/>
  </w:style>
  <w:style w:type="table" w:customStyle="1" w:styleId="39">
    <w:name w:val="Сетка таблицы3"/>
    <w:basedOn w:val="a1"/>
    <w:uiPriority w:val="39"/>
    <w:rPr>
      <w:rFonts w:eastAsia="Times New Roman"/>
    </w:rPr>
    <w:tblPr/>
  </w:style>
  <w:style w:type="table" w:customStyle="1" w:styleId="TableGrid21">
    <w:name w:val="TableGrid2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rPr>
      <w:rFonts w:eastAsia="Times New Roman"/>
    </w:rPr>
    <w:tblPr/>
  </w:style>
  <w:style w:type="table" w:customStyle="1" w:styleId="1120">
    <w:name w:val="Сетка таблицы112"/>
    <w:basedOn w:val="a1"/>
    <w:uiPriority w:val="59"/>
    <w:tblPr/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3603</Words>
  <Characters>20539</Characters>
  <Application>Microsoft Office Word</Application>
  <DocSecurity>0</DocSecurity>
  <Lines>171</Lines>
  <Paragraphs>48</Paragraphs>
  <ScaleCrop>false</ScaleCrop>
  <Company>*</Company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</dc:creator>
  <cp:lastModifiedBy>Русак В.С.</cp:lastModifiedBy>
  <cp:revision>12</cp:revision>
  <dcterms:created xsi:type="dcterms:W3CDTF">2025-05-28T05:13:00Z</dcterms:created>
  <dcterms:modified xsi:type="dcterms:W3CDTF">2025-11-11T10:43:00Z</dcterms:modified>
</cp:coreProperties>
</file>