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41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4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44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</w:p>
    <w:p>
      <w:pPr>
        <w:pStyle w:val="64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41"/>
        <w:jc w:val="right"/>
      </w:pPr>
      <w:r/>
      <w:r/>
    </w:p>
    <w:p>
      <w:pPr>
        <w:pStyle w:val="642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</w:p>
    <w:p>
      <w:pPr>
        <w:pStyle w:val="641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1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2"/>
      </w:pPr>
      <w:r>
        <w:t xml:space="preserve">ПОСТАНОВЛЕНИЕ</w:t>
      </w:r>
      <w:r/>
    </w:p>
    <w:p>
      <w:pPr>
        <w:pStyle w:val="641"/>
      </w:pPr>
      <w:r/>
      <w:r/>
    </w:p>
    <w:p>
      <w:pPr>
        <w:pStyle w:val="641"/>
      </w:pPr>
      <w:r/>
      <w:r/>
    </w:p>
    <w:p>
      <w:pPr>
        <w:pStyle w:val="641"/>
      </w:pPr>
      <w:r>
        <w:t xml:space="preserve">от</w:t>
      </w:r>
      <w:r>
        <w:t xml:space="preserve"> 23 апреля</w:t>
      </w:r>
      <w:r>
        <w:t xml:space="preserve"> 20</w:t>
      </w:r>
      <w:r>
        <w:t xml:space="preserve">2</w:t>
      </w:r>
      <w:r>
        <w:t xml:space="preserve">5</w:t>
      </w:r>
      <w:r>
        <w:t xml:space="preserve"> года</w:t>
        <w:tab/>
        <w:tab/>
        <w:tab/>
      </w:r>
      <w:r>
        <w:tab/>
        <w:t xml:space="preserve">        </w:t>
      </w:r>
      <w:r>
        <w:t xml:space="preserve">  </w:t>
      </w:r>
      <w:r>
        <w:t xml:space="preserve">            </w:t>
      </w:r>
      <w:r>
        <w:t xml:space="preserve">                           </w:t>
      </w:r>
      <w:r>
        <w:t xml:space="preserve">          </w:t>
      </w:r>
      <w:r>
        <w:t xml:space="preserve"> </w:t>
      </w:r>
      <w:r>
        <w:t xml:space="preserve">  № </w:t>
      </w:r>
      <w:r>
        <w:t xml:space="preserve">258</w:t>
      </w:r>
      <w:r/>
    </w:p>
    <w:p>
      <w:pPr>
        <w:pStyle w:val="641"/>
      </w:pPr>
      <w:r/>
      <w:r/>
    </w:p>
    <w:p>
      <w:pPr>
        <w:pStyle w:val="641"/>
      </w:pPr>
      <w:r/>
      <w:r/>
    </w:p>
    <w:p>
      <w:pPr>
        <w:pStyle w:val="641"/>
      </w:pPr>
      <w:r/>
      <w:r/>
    </w:p>
    <w:p>
      <w:pPr>
        <w:pStyle w:val="641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</w:t>
      </w:r>
      <w:r>
        <w:rPr>
          <w:b/>
        </w:rPr>
        <w:t xml:space="preserve">внесении изменений в </w:t>
      </w:r>
      <w:r>
        <w:rPr>
          <w:b/>
        </w:rPr>
        <w:t xml:space="preserve">приложение к </w:t>
      </w:r>
      <w:r>
        <w:rPr>
          <w:b/>
        </w:rPr>
        <w:t xml:space="preserve">постановлени</w:t>
      </w:r>
      <w:r>
        <w:rPr>
          <w:b/>
        </w:rPr>
        <w:t xml:space="preserve">ю</w:t>
      </w:r>
      <w:r>
        <w:rPr>
          <w:b/>
        </w:rPr>
        <w:t xml:space="preserve"> </w:t>
      </w:r>
      <w:r>
        <w:rPr>
          <w:b/>
        </w:rPr>
        <w:t xml:space="preserve">администрации</w:t>
      </w:r>
      <w:r>
        <w:rPr>
          <w:b/>
        </w:rPr>
      </w:r>
    </w:p>
    <w:p>
      <w:pPr>
        <w:pStyle w:val="641"/>
        <w:jc w:val="center"/>
      </w:pPr>
      <w:r>
        <w:rPr>
          <w:b/>
        </w:rPr>
        <w:t xml:space="preserve">Белоярского района</w:t>
      </w:r>
      <w:r>
        <w:rPr>
          <w:b/>
        </w:rPr>
        <w:t xml:space="preserve"> </w:t>
      </w:r>
      <w:r>
        <w:rPr>
          <w:b/>
        </w:rPr>
        <w:t xml:space="preserve">от </w:t>
      </w:r>
      <w:r>
        <w:rPr>
          <w:b/>
        </w:rPr>
        <w:t xml:space="preserve">19 марта 2020 года № 243</w:t>
      </w:r>
      <w:r/>
    </w:p>
    <w:p>
      <w:pPr>
        <w:pStyle w:val="641"/>
        <w:ind w:firstLine="720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41"/>
        <w:ind w:firstLine="720"/>
        <w:jc w:val="both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pStyle w:val="641"/>
        <w:ind w:firstLine="720"/>
        <w:jc w:val="both"/>
        <w:rPr>
          <w:szCs w:val="20"/>
        </w:rPr>
      </w:pPr>
      <w:r>
        <w:rPr>
          <w:szCs w:val="20"/>
        </w:rPr>
        <w:t xml:space="preserve">П</w:t>
      </w:r>
      <w:r>
        <w:rPr>
          <w:szCs w:val="20"/>
        </w:rPr>
        <w:t xml:space="preserve"> о с т а н о в л я ю:</w:t>
      </w:r>
      <w:r>
        <w:rPr>
          <w:szCs w:val="20"/>
        </w:rPr>
      </w:r>
      <w:r>
        <w:rPr>
          <w:szCs w:val="20"/>
        </w:rPr>
      </w:r>
    </w:p>
    <w:p>
      <w:pPr>
        <w:pStyle w:val="641"/>
        <w:ind w:firstLine="720"/>
        <w:jc w:val="both"/>
        <w:spacing w:line="240" w:lineRule="atLeast"/>
      </w:pPr>
      <w:r>
        <w:t xml:space="preserve">1. Внести в приложение «</w:t>
      </w:r>
      <w:r>
        <w:t xml:space="preserve">Лесохозяйственный регламент лесничества «Городские леса городского поселения Белоярский» </w:t>
      </w:r>
      <w:r>
        <w:t xml:space="preserve">к постановлению адми</w:t>
      </w:r>
      <w:r>
        <w:t xml:space="preserve">нистрации Белоярского района от</w:t>
      </w:r>
      <w:r>
        <w:t xml:space="preserve"> </w:t>
      </w:r>
      <w:r>
        <w:t xml:space="preserve">19 марта 2020 года № 243</w:t>
      </w:r>
      <w:r>
        <w:t xml:space="preserve"> «</w:t>
      </w:r>
      <w:r>
        <w:t xml:space="preserve">Об утверждении лесохозяйственного регламента лесничества «Городские леса городского поселения Белоярский»</w:t>
      </w:r>
      <w:r>
        <w:t xml:space="preserve"> </w:t>
      </w:r>
      <w:r>
        <w:t xml:space="preserve">следующие изменения:</w:t>
      </w:r>
      <w:r/>
    </w:p>
    <w:p>
      <w:pPr>
        <w:pStyle w:val="641"/>
        <w:ind w:firstLine="720"/>
        <w:jc w:val="both"/>
        <w:spacing w:line="240" w:lineRule="atLeast"/>
      </w:pPr>
      <w:r>
        <w:t xml:space="preserve">1) </w:t>
      </w:r>
      <w:r>
        <w:t xml:space="preserve">в разделе 2 «Виды разрешенного использования лесов на территории лесничества с распределением по кварталам» главы 1 «</w:t>
      </w:r>
      <w:r>
        <w:t xml:space="preserve">Общие сведения</w:t>
      </w:r>
      <w:r>
        <w:t xml:space="preserve">»</w:t>
      </w:r>
      <w:r>
        <w:t xml:space="preserve"> </w:t>
      </w:r>
      <w:r>
        <w:t xml:space="preserve">таблицу 9 «</w:t>
      </w:r>
      <w:r>
        <w:t xml:space="preserve">Виды р</w:t>
      </w:r>
      <w:r>
        <w:t xml:space="preserve">азрешенного использования лесов» </w:t>
      </w:r>
      <w:r>
        <w:t xml:space="preserve">изложить в следующей редакции:</w:t>
      </w:r>
      <w:r/>
    </w:p>
    <w:p>
      <w:pPr>
        <w:pStyle w:val="641"/>
        <w:jc w:val="right"/>
      </w:pPr>
      <w:r>
        <w:t xml:space="preserve">«Таблица 9</w:t>
      </w:r>
      <w:r/>
    </w:p>
    <w:p>
      <w:pPr>
        <w:pStyle w:val="641"/>
        <w:jc w:val="center"/>
      </w:pPr>
      <w:r>
        <w:t xml:space="preserve">Виды разрешенного использования лесов</w:t>
      </w:r>
      <w:r/>
    </w:p>
    <w:p>
      <w:pPr>
        <w:pStyle w:val="641"/>
        <w:ind w:firstLine="540"/>
        <w:jc w:val="both"/>
      </w:pPr>
      <w:r/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5"/>
        <w:gridCol w:w="2552"/>
        <w:gridCol w:w="1700"/>
        <w:gridCol w:w="129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  <w:jc w:val="center"/>
            </w:pPr>
            <w:r>
              <w:t xml:space="preserve">Виды разрешенного использования лесов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  <w:jc w:val="center"/>
            </w:pPr>
            <w:r>
              <w:t xml:space="preserve">Наименование лесничества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  <w:jc w:val="center"/>
            </w:pPr>
            <w:r>
              <w:t xml:space="preserve">Перечень кварталов или их частей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  <w:jc w:val="center"/>
            </w:pPr>
            <w:r>
              <w:t xml:space="preserve">Площадь, га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Заготовка древесины &lt;1&gt;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Заготовка живицы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Заготовка и сбор недревесных лесных ресурсов &lt;2&gt;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4884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Заготовка пищевых лесных ресурсов и сбор лекарственных растений &lt;2&gt;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4884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Осуществление видов деятельности в сфере охотничьего хозяйства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Ведение сельского хозяйства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Осуществление рыболовства, за исключением любительского рыболовства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Осуществление научно-исследовательской деятельности, образовательной деятельности &lt;3&gt;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4884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Осуществление рекреационной деятельности &lt;3&gt;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4884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Создание лесных плантаций и их эксплуатация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Выращивание лесных плодовых, ягодных, декоративных растений, лекарственных растений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Создание лесных питомников и их эксплуатация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Осуществление геологического изучения недр, разведка и добыча полезных ископаемых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  <w:jc w:val="both"/>
            </w:pPr>
            <w:r>
              <w:t xml:space="preserve">Осуществлени</w:t>
            </w:r>
            <w:r>
              <w:t xml:space="preserve">е изыскательской деятельности &lt;4</w:t>
            </w:r>
            <w:r>
              <w:t xml:space="preserve">&gt;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4884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Строительство и эксплуатация водохранилищ и иных искусственных водных объектов, создание и расширение территорий морских и речных портов, строительство, реконструкция и эксплуатация гидротехнических сооружений &lt;3&gt;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4884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Строительство, реконструкция, эксплуатация линейных объектов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Создание и эксплуатация объектов лесоперерабатывающей инфраструктуры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Осуществление религиозной деятельности &lt;3&gt;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Городские леса городского поселения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1 - 35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textDirection w:val="lrTb"/>
            <w:noWrap w:val="false"/>
          </w:tcPr>
          <w:p>
            <w:pPr>
              <w:pStyle w:val="641"/>
            </w:pPr>
            <w:r>
              <w:t xml:space="preserve">4884</w:t>
            </w:r>
            <w:r/>
          </w:p>
        </w:tc>
      </w:tr>
    </w:tbl>
    <w:p>
      <w:pPr>
        <w:pStyle w:val="641"/>
        <w:ind w:firstLine="540"/>
        <w:jc w:val="both"/>
      </w:pPr>
      <w:r/>
      <w:r/>
    </w:p>
    <w:p>
      <w:pPr>
        <w:pStyle w:val="641"/>
        <w:ind w:firstLine="540"/>
        <w:jc w:val="both"/>
      </w:pPr>
      <w:r>
        <w:t xml:space="preserve">--------------------------------</w:t>
      </w:r>
      <w:r/>
    </w:p>
    <w:p>
      <w:pPr>
        <w:pStyle w:val="641"/>
        <w:ind w:firstLine="540"/>
        <w:jc w:val="both"/>
      </w:pPr>
      <w:r>
        <w:t xml:space="preserve">&lt;1&gt; </w:t>
      </w:r>
      <w:r>
        <w:t xml:space="preserve">– </w:t>
      </w:r>
      <w:r>
        <w:t xml:space="preserve">Рубка лесных насаждений, связанная с заготовкой древесины, в городских лесах запрещается.</w:t>
      </w:r>
      <w:r/>
    </w:p>
    <w:p>
      <w:pPr>
        <w:pStyle w:val="641"/>
        <w:ind w:firstLine="540"/>
        <w:jc w:val="both"/>
      </w:pPr>
      <w:r>
        <w:t xml:space="preserve">Сплошные и выборочные рубки на земл</w:t>
      </w:r>
      <w:r>
        <w:t xml:space="preserve">ях населенных пунктов, на которых расположены городские леса, осуществляются в целях формирования ландшафтов, обеспечения устойчивости и сохранения рекреационной привлекательности лесных насаждений, а также размещения объектов рекреационной инфраструктуры.</w:t>
      </w:r>
      <w:r/>
    </w:p>
    <w:p>
      <w:pPr>
        <w:pStyle w:val="641"/>
        <w:ind w:firstLine="540"/>
        <w:jc w:val="both"/>
      </w:pPr>
      <w:r>
        <w:t xml:space="preserve">В этих целях допускается сплошная и выборочная рубка лесных насаждений любой интенсивности и любого возраста, если иное не установлено Лесным </w:t>
      </w:r>
      <w:r>
        <w:fldChar w:fldCharType="begin"/>
      </w:r>
      <w:r>
        <w:instrText xml:space="preserve">HYPERLINK https://login.consultant.ru/link/?req=doc&amp;base=LAW&amp;n=394113 </w:instrText>
      </w:r>
      <w:r>
        <w:fldChar w:fldCharType="separate"/>
      </w:r>
      <w:r>
        <w:t xml:space="preserve">кодексом</w:t>
      </w:r>
      <w:r>
        <w:fldChar w:fldCharType="end"/>
      </w:r>
      <w:r>
        <w:t xml:space="preserve">.</w:t>
      </w:r>
      <w:r/>
    </w:p>
    <w:p>
      <w:pPr>
        <w:pStyle w:val="641"/>
        <w:ind w:firstLine="540"/>
        <w:jc w:val="both"/>
      </w:pPr>
      <w:r>
        <w:t xml:space="preserve">Сплошные рубки лесных насаждений для строительства, реконструкции, капитального ремонта объектов капитального строительства в целях, предусмотренных </w:t>
      </w:r>
      <w:r>
        <w:fldChar w:fldCharType="begin"/>
      </w:r>
      <w:r>
        <w:instrText xml:space="preserve">HYPERLINK https://login.consultant.ru/link/?req=doc&amp;base=LAW&amp;n=394113&amp;dst=1558 </w:instrText>
      </w:r>
      <w:r>
        <w:fldChar w:fldCharType="separate"/>
      </w:r>
      <w:r>
        <w:t xml:space="preserve">пунктами 4</w:t>
      </w:r>
      <w:r>
        <w:fldChar w:fldCharType="end"/>
      </w:r>
      <w:r>
        <w:t xml:space="preserve"> - </w:t>
      </w:r>
      <w:r>
        <w:fldChar w:fldCharType="begin"/>
      </w:r>
      <w:r>
        <w:instrText xml:space="preserve">HYPERLINK https://login.consultant.ru/link/?req=doc&amp;base=LAW&amp;n=394113&amp;dst=1560 </w:instrText>
      </w:r>
      <w:r>
        <w:fldChar w:fldCharType="separate"/>
      </w:r>
      <w:r>
        <w:t xml:space="preserve">6 части 1 статьи 21</w:t>
      </w:r>
      <w:r>
        <w:fldChar w:fldCharType="end"/>
      </w:r>
      <w:r>
        <w:t xml:space="preserve"> Лесного кодекса, не допускаются.</w:t>
      </w:r>
      <w:r/>
    </w:p>
    <w:p>
      <w:pPr>
        <w:pStyle w:val="641"/>
        <w:ind w:firstLine="540"/>
        <w:jc w:val="both"/>
      </w:pPr>
      <w:r>
        <w:t xml:space="preserve">Проведение сплошных рубок в защитных лесах осуществляется в случаях, предусмотренных </w:t>
      </w:r>
      <w:r>
        <w:fldChar w:fldCharType="begin"/>
      </w:r>
      <w:r>
        <w:instrText xml:space="preserve">HYPERLINK https://login.consultant.ru/link/?req=doc&amp;base=LAW&amp;n=394113&amp;dst=1565 </w:instrText>
      </w:r>
      <w:r>
        <w:fldChar w:fldCharType="separate"/>
      </w:r>
      <w:r>
        <w:t xml:space="preserve">частью 6 статьи 21</w:t>
      </w:r>
      <w:r>
        <w:fldChar w:fldCharType="end"/>
      </w:r>
      <w:r>
        <w:t xml:space="preserve"> Лесного кодекса, и в случаях, если выборочные рубки не обеспечивают замену лесных насаждений, утрачивающ</w:t>
      </w:r>
      <w:r>
        <w:t xml:space="preserve">их свои средообразующие, водоохранные,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функций, если иное не установлено Лесным </w:t>
      </w:r>
      <w:r>
        <w:fldChar w:fldCharType="begin"/>
      </w:r>
      <w:r>
        <w:instrText xml:space="preserve">HYPERLINK https://login.consultant.ru/link/?req=doc&amp;base=LAW&amp;n=394113 </w:instrText>
      </w:r>
      <w:r>
        <w:fldChar w:fldCharType="separate"/>
      </w:r>
      <w:r>
        <w:t xml:space="preserve">кодексом</w:t>
      </w:r>
      <w:r>
        <w:fldChar w:fldCharType="end"/>
      </w:r>
      <w:r>
        <w:t xml:space="preserve">.</w:t>
      </w:r>
      <w:r/>
    </w:p>
    <w:p>
      <w:pPr>
        <w:pStyle w:val="641"/>
        <w:ind w:firstLine="540"/>
        <w:jc w:val="both"/>
      </w:pPr>
      <w:r>
        <w:t xml:space="preserve">В защитных лесах предусмотренные </w:t>
      </w:r>
      <w:r>
        <w:fldChar w:fldCharType="begin"/>
      </w:r>
      <w:r>
        <w:instrText xml:space="preserve">HYPERLINK https://login.consultant.ru/link/?req=doc&amp;base=LAW&amp;n=394113&amp;dst=1564 </w:instrText>
      </w:r>
      <w:r>
        <w:fldChar w:fldCharType="separate"/>
      </w:r>
      <w:r>
        <w:t xml:space="preserve">частью 5 статьи 21</w:t>
      </w:r>
      <w:r>
        <w:fldChar w:fldCharType="end"/>
      </w:r>
      <w:r>
        <w:t xml:space="preserve"> Лесного кодекса выборочн</w:t>
      </w:r>
      <w:r>
        <w:t xml:space="preserve">ые рубки и сплошные рубки деревьев, кустарников, лиан допускаются в случаях, если строительство, реконструкция, капитальный ремонт и эксплуатация объектов капитального строительства, не связанных с созданием лесной инфраструктуры, в целях, предусмотренных </w:t>
      </w:r>
      <w:r>
        <w:fldChar w:fldCharType="begin"/>
      </w:r>
      <w:r>
        <w:instrText xml:space="preserve">HYPERLINK https://login.consultant.ru/link/?req=doc&amp;base=LAW&amp;n=394113&amp;dst=1555 </w:instrText>
      </w:r>
      <w:r>
        <w:fldChar w:fldCharType="separate"/>
      </w:r>
      <w:r>
        <w:t xml:space="preserve">пунктами 1</w:t>
      </w:r>
      <w:r>
        <w:fldChar w:fldCharType="end"/>
      </w:r>
      <w:r>
        <w:t xml:space="preserve"> - </w:t>
      </w:r>
      <w:r>
        <w:fldChar w:fldCharType="begin"/>
      </w:r>
      <w:r>
        <w:instrText xml:space="preserve">HYPERLINK https://login.consultant.ru/link/?req=doc&amp;base=LAW&amp;n=394113&amp;dst=1557 </w:instrText>
      </w:r>
      <w:r>
        <w:fldChar w:fldCharType="separate"/>
      </w:r>
      <w:r>
        <w:t xml:space="preserve">3 части 1 статьи 21</w:t>
      </w:r>
      <w:r>
        <w:fldChar w:fldCharType="end"/>
      </w:r>
      <w:r>
        <w:t xml:space="preserve"> Лесного кодекса, не запрещены или не ограничены в соответствии с законодательством Российской Федерации.</w:t>
      </w:r>
      <w:r/>
    </w:p>
    <w:p>
      <w:pPr>
        <w:pStyle w:val="641"/>
        <w:ind w:firstLine="540"/>
        <w:jc w:val="both"/>
      </w:pPr>
      <w:r>
        <w:t xml:space="preserve">&lt;2&gt; </w:t>
      </w:r>
      <w:r>
        <w:t xml:space="preserve">– </w:t>
      </w:r>
      <w:r>
        <w:t xml:space="preserve">Гражданам запрещается осуществлять заготовку и с</w:t>
      </w:r>
      <w:r>
        <w:t xml:space="preserve">бор грибов и дикорастущих растений, виды которых занесены в Красную книгу Российской Федерации, красные книги субъектов Российской Федерации, а также грибов и дикорастущих растений, которые признаются наркотическими средствами в соответствии с Федеральным </w:t>
      </w:r>
      <w:r>
        <w:fldChar w:fldCharType="begin"/>
      </w:r>
      <w:r>
        <w:instrText xml:space="preserve">HYPERLINK https://login.consultant.ru/link/?req=doc&amp;base=LAW&amp;n=370330 </w:instrText>
      </w:r>
      <w:r>
        <w:fldChar w:fldCharType="separate"/>
      </w:r>
      <w:r>
        <w:t xml:space="preserve">законом</w:t>
      </w:r>
      <w:r>
        <w:fldChar w:fldCharType="end"/>
      </w:r>
      <w:r>
        <w:t xml:space="preserve"> от 8 января 1998 года </w:t>
      </w:r>
      <w:r>
        <w:t xml:space="preserve">№ 3-ФЗ «</w:t>
      </w:r>
      <w:r>
        <w:t xml:space="preserve">О наркотических сре</w:t>
      </w:r>
      <w:r>
        <w:t xml:space="preserve">дствах и психотропных веществах»</w:t>
      </w:r>
      <w:r>
        <w:t xml:space="preserve">.</w:t>
      </w:r>
      <w:r/>
    </w:p>
    <w:p>
      <w:pPr>
        <w:pStyle w:val="641"/>
        <w:ind w:firstLine="540"/>
        <w:jc w:val="both"/>
      </w:pPr>
      <w:r>
        <w:t xml:space="preserve">&lt;3&gt; </w:t>
      </w:r>
      <w:r>
        <w:t xml:space="preserve">– </w:t>
      </w:r>
      <w:r>
        <w:t xml:space="preserve">В соответствии со </w:t>
      </w:r>
      <w:r>
        <w:fldChar w:fldCharType="begin"/>
      </w:r>
      <w:r>
        <w:instrText xml:space="preserve">HYPERLINK https://login.consultant.ru/link/?req=doc&amp;base=LAW&amp;n=394113&amp;dst=1067 </w:instrText>
      </w:r>
      <w:r>
        <w:fldChar w:fldCharType="separate"/>
      </w:r>
      <w:r>
        <w:t xml:space="preserve">статьей 116</w:t>
      </w:r>
      <w:r>
        <w:fldChar w:fldCharType="end"/>
      </w:r>
      <w:r>
        <w:t xml:space="preserve"> Лесного кодекса в городских лесах запр</w:t>
      </w:r>
      <w:r>
        <w:t xml:space="preserve">ещается строительство объектов капитального строительства, за исключением велосипедных, велопешеходных, пешеходных и беговых дорожек, лыжных и роллерных трасс, если такие объекты являются объектами капитального строительства, и гидротехнических сооружений.</w:t>
      </w:r>
      <w:r/>
    </w:p>
    <w:p>
      <w:pPr>
        <w:pStyle w:val="641"/>
        <w:ind w:firstLine="540"/>
        <w:jc w:val="both"/>
      </w:pPr>
      <w:r>
        <w:t xml:space="preserve">&lt;4&gt; – </w:t>
      </w:r>
      <w:r>
        <w:t xml:space="preserve">Допускается использование городских лесов для осу</w:t>
      </w:r>
      <w:r>
        <w:t xml:space="preserve">ществления изыскательской деятельности без предоставления лесного участка, установления сервитута, если осуществление изыскательской деятельности не влечет за собой проведение рубок лесных насаждений на основании разрешений администрации Белоярского района</w:t>
      </w:r>
      <w:r>
        <w:t xml:space="preserve">».</w:t>
      </w:r>
      <w:r/>
    </w:p>
    <w:p>
      <w:pPr>
        <w:pStyle w:val="641"/>
        <w:ind w:firstLine="720"/>
        <w:jc w:val="both"/>
      </w:pPr>
      <w:r>
        <w:t xml:space="preserve">2) </w:t>
      </w:r>
      <w:r>
        <w:t xml:space="preserve">главу 2</w:t>
      </w:r>
      <w:r>
        <w:t xml:space="preserve"> «</w:t>
      </w:r>
      <w:r>
        <w:t xml:space="preserve">Нормативы, параметры и сроки использования лесов, требования по охране, защите и воспроизводству лесов</w:t>
      </w:r>
      <w:r>
        <w:t xml:space="preserve">»</w:t>
      </w:r>
      <w:r>
        <w:t xml:space="preserve"> </w:t>
      </w:r>
      <w:r>
        <w:t xml:space="preserve">дополнить </w:t>
      </w:r>
      <w:r>
        <w:t xml:space="preserve">раздел</w:t>
      </w:r>
      <w:r>
        <w:t xml:space="preserve">ом</w:t>
      </w:r>
      <w:r>
        <w:t xml:space="preserve"> </w:t>
      </w:r>
      <w:r>
        <w:t xml:space="preserve">12.1</w:t>
      </w:r>
      <w:r>
        <w:t xml:space="preserve"> </w:t>
      </w:r>
      <w:r>
        <w:t xml:space="preserve">следующего содержания</w:t>
      </w:r>
      <w:r>
        <w:t xml:space="preserve">:</w:t>
      </w:r>
      <w:r/>
    </w:p>
    <w:p>
      <w:pPr>
        <w:pStyle w:val="641"/>
        <w:ind w:firstLine="720"/>
        <w:jc w:val="both"/>
        <w:spacing w:line="240" w:lineRule="atLeast"/>
      </w:pPr>
      <w:r>
        <w:t xml:space="preserve">«</w:t>
      </w:r>
      <w:r>
        <w:t xml:space="preserve">12.1. ИСПОЛЬЗОВАНИЕ ЛЕСОВ ДЛЯ ОСУЩЕСТВЛЕНИЯ ИЗЫСКАТЕЛЬСКОЙ ДЕЯТЕЛЬНОСТИ</w:t>
      </w:r>
      <w:r/>
    </w:p>
    <w:p>
      <w:pPr>
        <w:pStyle w:val="641"/>
        <w:ind w:firstLine="709"/>
        <w:jc w:val="both"/>
      </w:pPr>
      <w:r>
        <w:t xml:space="preserve">Использование лесов для осуществления изыскательской деятельности определяется статьей 43.1 Лесного кодекса, Правилами использования лесов для осуществления изыскательской де</w:t>
      </w:r>
      <w:r>
        <w:t xml:space="preserve">ятельности, утвержденными Приказом Минприроды России от 25 апреля 2024 года № 241 «Об утверждении Правил использования лесов для осуществления изыскательской деятельности» (далее – Правила использования лесов для осуществления изыскательской деятельности).</w:t>
      </w:r>
      <w:r/>
    </w:p>
    <w:p>
      <w:pPr>
        <w:pStyle w:val="641"/>
        <w:ind w:firstLine="709"/>
        <w:jc w:val="both"/>
      </w:pPr>
      <w:r>
        <w:t xml:space="preserve">Допускается использование городских л</w:t>
      </w:r>
      <w:r>
        <w:t xml:space="preserve">есов для осуществления изыскательской деятельности без предоставления лесного участка, установления сервитута, если осуществление изыскательской деятельности не влечет за собой проведение рубок лесных насаждений на основании разрешений </w:t>
      </w:r>
      <w:r>
        <w:t xml:space="preserve">администрации Белоярского района.</w:t>
      </w:r>
      <w:r/>
    </w:p>
    <w:p>
      <w:pPr>
        <w:pStyle w:val="641"/>
        <w:ind w:firstLine="709"/>
        <w:jc w:val="both"/>
      </w:pPr>
      <w:r>
        <w:t xml:space="preserve">Для использования </w:t>
      </w:r>
      <w:r>
        <w:t xml:space="preserve">городских </w:t>
      </w:r>
      <w:r>
        <w:t xml:space="preserve">лесов в целях осуществления изыскательской деятельности на основании разрешения индивидуальные пр</w:t>
      </w:r>
      <w:r>
        <w:t xml:space="preserve">едприниматели, юридические лица</w:t>
      </w:r>
      <w:r>
        <w:t xml:space="preserve"> подают в </w:t>
      </w:r>
      <w:r>
        <w:t xml:space="preserve">администрацию Белоярского района</w:t>
      </w:r>
      <w:r>
        <w:t xml:space="preserve"> заявление</w:t>
      </w:r>
      <w:r>
        <w:t xml:space="preserve"> в соответствии с </w:t>
      </w:r>
      <w:r>
        <w:t xml:space="preserve">Правила</w:t>
      </w:r>
      <w:r>
        <w:t xml:space="preserve">ми</w:t>
      </w:r>
      <w:r>
        <w:t xml:space="preserve"> использования лесов для осуществления изыскательской деятельности</w:t>
      </w:r>
      <w:r>
        <w:t xml:space="preserve">.</w:t>
      </w:r>
      <w:r/>
    </w:p>
    <w:p>
      <w:pPr>
        <w:pStyle w:val="641"/>
        <w:ind w:firstLine="709"/>
        <w:jc w:val="both"/>
      </w:pPr>
      <w:r>
        <w:t xml:space="preserve">При использовании </w:t>
      </w:r>
      <w:r>
        <w:t xml:space="preserve">городских </w:t>
      </w:r>
      <w:r>
        <w:t xml:space="preserve">лесов для осуществления изыскательской деятельности допускается возведение некапитальных строений, сооружений</w:t>
      </w:r>
      <w:r>
        <w:t xml:space="preserve"> в соответствии с </w:t>
      </w:r>
      <w:r>
        <w:t xml:space="preserve">Перечне</w:t>
      </w:r>
      <w:r>
        <w:t xml:space="preserve">м</w:t>
      </w:r>
      <w:r>
        <w:t xml:space="preserve"> некапитальных строений, сооружений, не связанных с созданием лесной инфраструктуры</w:t>
      </w:r>
      <w:r>
        <w:t xml:space="preserve">.</w:t>
      </w:r>
      <w:r/>
    </w:p>
    <w:p>
      <w:pPr>
        <w:pStyle w:val="641"/>
        <w:ind w:firstLine="709"/>
        <w:jc w:val="both"/>
      </w:pPr>
      <w:r>
        <w:t xml:space="preserve">При использовании городских лесов для осуществления изыскательской деятельности не допускается:</w:t>
      </w:r>
      <w:r/>
    </w:p>
    <w:p>
      <w:pPr>
        <w:pStyle w:val="641"/>
        <w:ind w:firstLine="709"/>
        <w:jc w:val="both"/>
      </w:pPr>
      <w:r>
        <w:t xml:space="preserve">повреждение лесных насаждений, растительного покрова и почв за пределами земель, на которых осуществляется использование лесов;</w:t>
      </w:r>
      <w:r/>
    </w:p>
    <w:p>
      <w:pPr>
        <w:pStyle w:val="641"/>
        <w:ind w:firstLine="709"/>
        <w:jc w:val="both"/>
      </w:pPr>
      <w:r>
        <w:t xml:space="preserve">захламление территорий, на которых осуществляется использование лесов и прилегающих к землям, на которых осуществляется использование лесов, отходами производства и потребления;</w:t>
      </w:r>
      <w:r/>
    </w:p>
    <w:p>
      <w:pPr>
        <w:pStyle w:val="641"/>
        <w:ind w:firstLine="709"/>
        <w:jc w:val="both"/>
      </w:pPr>
      <w:r>
        <w:t xml:space="preserve">загрязнение земель, на которых осуществляется использование лесов, и территорий, прилегающих к землям, на которых осуществляется использование лесов, химическими и радиоактивными веществами;</w:t>
      </w:r>
      <w:r/>
    </w:p>
    <w:p>
      <w:pPr>
        <w:pStyle w:val="641"/>
        <w:ind w:firstLine="709"/>
        <w:jc w:val="both"/>
      </w:pPr>
      <w:r>
        <w:t xml:space="preserve">проезд транспортных средств по произвольным, неустановленным маршрутам, в том числе за пределами земель, на которых осуществляется использование лесов.</w:t>
      </w:r>
      <w:r/>
    </w:p>
    <w:p>
      <w:pPr>
        <w:pStyle w:val="641"/>
        <w:ind w:firstLine="709"/>
        <w:jc w:val="both"/>
      </w:pPr>
      <w:r>
        <w:t xml:space="preserve">Индивидуальные предприниматели, юридические лица при использовании городских лесов для осуществления изыскательской деятельности обеспечивают:</w:t>
      </w:r>
      <w:r/>
    </w:p>
    <w:p>
      <w:pPr>
        <w:pStyle w:val="641"/>
        <w:ind w:firstLine="709"/>
        <w:jc w:val="both"/>
      </w:pPr>
      <w:r>
        <w:t xml:space="preserve">регулярное проведение очистки используемых лесов и примыкающих опушек леса, искусственных и естественных водотоков от захламления отходами производства и потребления;</w:t>
      </w:r>
      <w:r/>
    </w:p>
    <w:p>
      <w:pPr>
        <w:pStyle w:val="641"/>
        <w:ind w:firstLine="709"/>
        <w:jc w:val="both"/>
      </w:pPr>
      <w:r>
        <w:t xml:space="preserve">восстановление нарушенных производственной деятельностью лесных дорог, осушительных канав, дренажных систем, мостов, других гидромелиоративных сооружений, квартальных столбов, квартальных просек, аншлагов, элементов благоустройства территории лесов;</w:t>
      </w:r>
      <w:r/>
    </w:p>
    <w:p>
      <w:pPr>
        <w:pStyle w:val="641"/>
        <w:ind w:firstLine="709"/>
        <w:jc w:val="both"/>
      </w:pPr>
      <w:r>
        <w:t xml:space="preserve">демонтаж некапитальных строений, сооружений, связанных с осуществлением изыскательской деятельности, по истечении сроков выполнения соответствующих работ;</w:t>
      </w:r>
      <w:r/>
    </w:p>
    <w:p>
      <w:pPr>
        <w:pStyle w:val="641"/>
        <w:ind w:firstLine="709"/>
        <w:jc w:val="both"/>
      </w:pPr>
      <w:r>
        <w:t xml:space="preserve">рекультивацию земель, которые использовались для возведения, эксплуатации указанных объектов в соответствии с законодательством Российской Федерации;</w:t>
      </w:r>
      <w:r/>
    </w:p>
    <w:p>
      <w:pPr>
        <w:pStyle w:val="641"/>
        <w:ind w:firstLine="709"/>
        <w:jc w:val="both"/>
      </w:pPr>
      <w:r>
        <w:t xml:space="preserve">использование в первую очередь земель, не занятых лесными насаждениями для осуществления изыскательской деятельности.</w:t>
      </w:r>
      <w:r/>
    </w:p>
    <w:p>
      <w:pPr>
        <w:pStyle w:val="641"/>
        <w:ind w:firstLine="709"/>
        <w:jc w:val="both"/>
      </w:pPr>
      <w:r>
        <w:t xml:space="preserve">Индивидуальные предприниматели, юридические лица, использующие </w:t>
      </w:r>
      <w:r>
        <w:t xml:space="preserve">городские </w:t>
      </w:r>
      <w:r>
        <w:t xml:space="preserve">леса для осуществления изыскательской деятельности, обязаны:</w:t>
      </w:r>
      <w:r/>
    </w:p>
    <w:p>
      <w:pPr>
        <w:pStyle w:val="641"/>
        <w:ind w:firstLine="709"/>
        <w:jc w:val="both"/>
      </w:pPr>
      <w:r>
        <w:t xml:space="preserve">использовать лесной участок по целевому назначению в соответствии с Лесным кодексом, иными нормативными правовыми актами Российской Федерации, лесохозяйственным регламентом</w:t>
      </w:r>
      <w:r>
        <w:t xml:space="preserve"> на основании</w:t>
      </w:r>
      <w:r>
        <w:t xml:space="preserve"> </w:t>
      </w:r>
      <w:r>
        <w:t xml:space="preserve">разрешения</w:t>
      </w:r>
      <w:r>
        <w:t xml:space="preserve">;</w:t>
      </w:r>
      <w:r/>
    </w:p>
    <w:p>
      <w:pPr>
        <w:pStyle w:val="641"/>
        <w:ind w:firstLine="709"/>
        <w:jc w:val="both"/>
      </w:pPr>
      <w:r>
        <w:t xml:space="preserve">осуществлять меры противоп</w:t>
      </w:r>
      <w:r>
        <w:t xml:space="preserve">ожарного обустройства лесов</w:t>
      </w:r>
      <w:r>
        <w:t xml:space="preserve">;</w:t>
      </w:r>
      <w:r/>
    </w:p>
    <w:p>
      <w:pPr>
        <w:pStyle w:val="641"/>
        <w:ind w:firstLine="709"/>
        <w:jc w:val="both"/>
      </w:pPr>
      <w:r>
        <w:t xml:space="preserve">осуществлять меры санитарной безопасности в лесах, в том числе санитарно-оздоровительные и профилактические мероприятия по защите лесов, в соответствии с законодател</w:t>
      </w:r>
      <w:r>
        <w:t xml:space="preserve">ьством Российской Федерац</w:t>
      </w:r>
      <w:r>
        <w:t xml:space="preserve">ии.».</w:t>
      </w:r>
      <w:r/>
    </w:p>
    <w:p>
      <w:pPr>
        <w:pStyle w:val="641"/>
        <w:ind w:firstLine="709"/>
        <w:jc w:val="both"/>
      </w:pPr>
      <w:r>
        <w:t xml:space="preserve">2. Опубликовать настоящее постановление в газете «Белоярские вести.</w:t>
      </w:r>
      <w:r>
        <w:t xml:space="preserve"> </w:t>
      </w:r>
      <w:r>
        <w:t xml:space="preserve">Официальный выпуск».</w:t>
      </w:r>
      <w:r/>
    </w:p>
    <w:p>
      <w:pPr>
        <w:pStyle w:val="641"/>
        <w:ind w:firstLine="709"/>
        <w:jc w:val="both"/>
      </w:pPr>
      <w:r>
        <w:t xml:space="preserve">3</w:t>
      </w:r>
      <w:r>
        <w:t xml:space="preserve">. Настоящее постановление вступает в силу после</w:t>
      </w:r>
      <w:r>
        <w:t xml:space="preserve"> его официального </w:t>
      </w:r>
      <w:r>
        <w:t xml:space="preserve">опубликования</w:t>
      </w:r>
      <w:r>
        <w:t xml:space="preserve">.</w:t>
      </w:r>
      <w:r/>
    </w:p>
    <w:p>
      <w:pPr>
        <w:pStyle w:val="641"/>
        <w:ind w:firstLine="709"/>
        <w:jc w:val="both"/>
      </w:pPr>
      <w:r/>
      <w:r/>
    </w:p>
    <w:p>
      <w:pPr>
        <w:pStyle w:val="641"/>
        <w:ind w:firstLine="709"/>
        <w:jc w:val="both"/>
      </w:pPr>
      <w:r/>
      <w:r/>
    </w:p>
    <w:p>
      <w:pPr>
        <w:pStyle w:val="641"/>
        <w:ind w:firstLine="709"/>
        <w:jc w:val="both"/>
      </w:pPr>
      <w:r/>
      <w:r/>
    </w:p>
    <w:p>
      <w:pPr>
        <w:pStyle w:val="641"/>
        <w:jc w:val="both"/>
      </w:pPr>
      <w:r>
        <w:t xml:space="preserve">Глава Белоярского района</w:t>
        <w:tab/>
        <w:tab/>
        <w:tab/>
        <w:tab/>
        <w:tab/>
        <w:tab/>
        <w:tab/>
        <w:tab/>
        <w:t xml:space="preserve"> С.П.Маненков</w:t>
      </w:r>
      <w:r/>
    </w:p>
    <w:sectPr>
      <w:head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rPr>
        <w:rStyle w:val="654"/>
      </w:rPr>
      <w:framePr w:wrap="around" w:vAnchor="text" w:hAnchor="margin" w:xAlign="center" w:y="1"/>
    </w:pPr>
    <w:r>
      <w:rPr>
        <w:rStyle w:val="654"/>
      </w:rPr>
      <w:fldChar w:fldCharType="begin"/>
    </w:r>
    <w:r>
      <w:rPr>
        <w:rStyle w:val="654"/>
      </w:rPr>
      <w:instrText xml:space="preserve">PAGE  </w:instrText>
    </w:r>
    <w:r>
      <w:rPr>
        <w:rStyle w:val="654"/>
      </w:rPr>
      <w:fldChar w:fldCharType="end"/>
    </w:r>
    <w:r>
      <w:rPr>
        <w:rStyle w:val="654"/>
      </w:rPr>
    </w:r>
    <w:r>
      <w:rPr>
        <w:rStyle w:val="654"/>
      </w:rPr>
    </w:r>
  </w:p>
  <w:p>
    <w:pPr>
      <w:pStyle w:val="6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1"/>
    <w:next w:val="64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next w:val="641"/>
    <w:link w:val="641"/>
    <w:qFormat/>
    <w:rPr>
      <w:sz w:val="24"/>
      <w:szCs w:val="24"/>
      <w:lang w:val="ru-RU" w:eastAsia="ru-RU" w:bidi="ar-SA"/>
    </w:rPr>
  </w:style>
  <w:style w:type="paragraph" w:styleId="642">
    <w:name w:val="Заголовок 1"/>
    <w:basedOn w:val="641"/>
    <w:next w:val="641"/>
    <w:link w:val="641"/>
    <w:qFormat/>
    <w:pPr>
      <w:jc w:val="center"/>
      <w:keepNext/>
      <w:outlineLvl w:val="0"/>
    </w:pPr>
    <w:rPr>
      <w:b/>
      <w:sz w:val="28"/>
      <w:szCs w:val="20"/>
    </w:rPr>
  </w:style>
  <w:style w:type="paragraph" w:styleId="643">
    <w:name w:val="Заголовок 2"/>
    <w:basedOn w:val="641"/>
    <w:next w:val="641"/>
    <w:link w:val="64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44">
    <w:name w:val="Заголовок 3"/>
    <w:basedOn w:val="641"/>
    <w:next w:val="641"/>
    <w:link w:val="641"/>
    <w:qFormat/>
    <w:pPr>
      <w:jc w:val="center"/>
      <w:keepNext/>
      <w:outlineLvl w:val="2"/>
    </w:pPr>
    <w:rPr>
      <w:sz w:val="28"/>
      <w:szCs w:val="20"/>
    </w:rPr>
  </w:style>
  <w:style w:type="character" w:styleId="645">
    <w:name w:val="Основной шрифт абзаца"/>
    <w:next w:val="645"/>
    <w:link w:val="641"/>
    <w:semiHidden/>
  </w:style>
  <w:style w:type="table" w:styleId="646">
    <w:name w:val="Обычная таблица"/>
    <w:next w:val="646"/>
    <w:link w:val="641"/>
    <w:semiHidden/>
    <w:tblPr/>
  </w:style>
  <w:style w:type="numbering" w:styleId="647">
    <w:name w:val="Нет списка"/>
    <w:next w:val="647"/>
    <w:link w:val="641"/>
    <w:semiHidden/>
  </w:style>
  <w:style w:type="paragraph" w:styleId="648">
    <w:name w:val="ConsPlusNormal"/>
    <w:next w:val="648"/>
    <w:link w:val="66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49">
    <w:name w:val="Обычный (веб)"/>
    <w:basedOn w:val="641"/>
    <w:next w:val="649"/>
    <w:link w:val="641"/>
    <w:pPr>
      <w:spacing w:before="100" w:beforeAutospacing="1" w:after="100" w:afterAutospacing="1"/>
    </w:pPr>
  </w:style>
  <w:style w:type="paragraph" w:styleId="650">
    <w:name w:val="ConsPlusTitle"/>
    <w:next w:val="650"/>
    <w:link w:val="641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51">
    <w:name w:val="Основной текст с отступом 2"/>
    <w:basedOn w:val="641"/>
    <w:next w:val="651"/>
    <w:link w:val="641"/>
    <w:pPr>
      <w:ind w:firstLine="709"/>
      <w:jc w:val="both"/>
    </w:pPr>
  </w:style>
  <w:style w:type="paragraph" w:styleId="652">
    <w:name w:val="Верхний колонтитул"/>
    <w:basedOn w:val="641"/>
    <w:next w:val="652"/>
    <w:link w:val="641"/>
    <w:pPr>
      <w:tabs>
        <w:tab w:val="center" w:pos="4677" w:leader="none"/>
        <w:tab w:val="right" w:pos="9355" w:leader="none"/>
      </w:tabs>
    </w:pPr>
  </w:style>
  <w:style w:type="paragraph" w:styleId="653">
    <w:name w:val="Нижний колонтитул"/>
    <w:basedOn w:val="641"/>
    <w:next w:val="653"/>
    <w:link w:val="641"/>
    <w:pPr>
      <w:tabs>
        <w:tab w:val="center" w:pos="4677" w:leader="none"/>
        <w:tab w:val="right" w:pos="9355" w:leader="none"/>
      </w:tabs>
    </w:pPr>
  </w:style>
  <w:style w:type="character" w:styleId="654">
    <w:name w:val="Номер страницы"/>
    <w:basedOn w:val="645"/>
    <w:next w:val="654"/>
    <w:link w:val="641"/>
  </w:style>
  <w:style w:type="paragraph" w:styleId="655">
    <w:name w:val="ConsPlusNonformat"/>
    <w:next w:val="655"/>
    <w:link w:val="64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56">
    <w:name w:val="ConsPlusCell"/>
    <w:next w:val="656"/>
    <w:link w:val="641"/>
    <w:pPr>
      <w:widowControl w:val="off"/>
    </w:pPr>
    <w:rPr>
      <w:rFonts w:ascii="Arial" w:hAnsi="Arial" w:cs="Arial"/>
      <w:lang w:val="ru-RU" w:eastAsia="ru-RU" w:bidi="ar-SA"/>
    </w:rPr>
  </w:style>
  <w:style w:type="table" w:styleId="657">
    <w:name w:val="Сетка таблицы"/>
    <w:basedOn w:val="646"/>
    <w:next w:val="657"/>
    <w:link w:val="641"/>
    <w:tblPr/>
  </w:style>
  <w:style w:type="paragraph" w:styleId="658">
    <w:name w:val="Текст выноски"/>
    <w:basedOn w:val="641"/>
    <w:next w:val="658"/>
    <w:link w:val="641"/>
    <w:semiHidden/>
    <w:rPr>
      <w:rFonts w:ascii="Tahoma" w:hAnsi="Tahoma" w:cs="Tahoma"/>
      <w:sz w:val="16"/>
      <w:szCs w:val="16"/>
    </w:rPr>
  </w:style>
  <w:style w:type="paragraph" w:styleId="659">
    <w:name w:val="Основной текст с отступом 3"/>
    <w:basedOn w:val="641"/>
    <w:next w:val="659"/>
    <w:link w:val="641"/>
    <w:pPr>
      <w:ind w:left="283"/>
      <w:spacing w:after="120"/>
    </w:pPr>
    <w:rPr>
      <w:sz w:val="16"/>
      <w:szCs w:val="16"/>
    </w:rPr>
  </w:style>
  <w:style w:type="paragraph" w:styleId="660">
    <w:name w:val="Знак"/>
    <w:basedOn w:val="641"/>
    <w:next w:val="660"/>
    <w:link w:val="641"/>
    <w:pPr>
      <w:spacing w:after="160" w:line="240" w:lineRule="exact"/>
    </w:pPr>
    <w:rPr>
      <w:rFonts w:ascii="Verdana" w:hAnsi="Verdana"/>
      <w:lang w:val="en-US" w:eastAsia="en-US"/>
    </w:rPr>
  </w:style>
  <w:style w:type="paragraph" w:styleId="661">
    <w:name w:val="Абзац списка"/>
    <w:basedOn w:val="641"/>
    <w:next w:val="661"/>
    <w:link w:val="64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62">
    <w:name w:val="ConsPlusNormal Знак"/>
    <w:next w:val="662"/>
    <w:link w:val="648"/>
    <w:rPr>
      <w:rFonts w:ascii="Arial" w:hAnsi="Arial" w:cs="Arial"/>
      <w:lang w:val="ru-RU" w:eastAsia="ru-RU" w:bidi="ar-SA"/>
    </w:rPr>
  </w:style>
  <w:style w:type="paragraph" w:styleId="663">
    <w:name w:val="Текст"/>
    <w:basedOn w:val="641"/>
    <w:next w:val="663"/>
    <w:link w:val="664"/>
    <w:uiPriority w:val="99"/>
    <w:unhideWhenUsed/>
    <w:rPr>
      <w:rFonts w:ascii="Consolas" w:hAnsi="Consolas" w:eastAsia="Calibri" w:cs="Consolas"/>
      <w:sz w:val="21"/>
      <w:szCs w:val="21"/>
    </w:rPr>
  </w:style>
  <w:style w:type="character" w:styleId="664">
    <w:name w:val="Текст Знак"/>
    <w:next w:val="664"/>
    <w:link w:val="663"/>
    <w:uiPriority w:val="99"/>
    <w:rPr>
      <w:rFonts w:ascii="Consolas" w:hAnsi="Consolas" w:eastAsia="Calibri" w:cs="Consolas"/>
      <w:sz w:val="21"/>
      <w:szCs w:val="21"/>
    </w:rPr>
  </w:style>
  <w:style w:type="character" w:styleId="665">
    <w:name w:val="Гиперссылка"/>
    <w:next w:val="665"/>
    <w:link w:val="641"/>
    <w:rPr>
      <w:color w:val="0000ff"/>
      <w:u w:val="single"/>
    </w:rPr>
  </w:style>
  <w:style w:type="paragraph" w:styleId="666">
    <w:name w:val="Основной текст с отступом"/>
    <w:basedOn w:val="641"/>
    <w:next w:val="666"/>
    <w:link w:val="667"/>
    <w:pPr>
      <w:ind w:left="283"/>
      <w:spacing w:after="120"/>
    </w:pPr>
  </w:style>
  <w:style w:type="character" w:styleId="667">
    <w:name w:val="Основной текст с отступом Знак"/>
    <w:next w:val="667"/>
    <w:link w:val="666"/>
    <w:rPr>
      <w:sz w:val="24"/>
      <w:szCs w:val="24"/>
    </w:rPr>
  </w:style>
  <w:style w:type="paragraph" w:styleId="668">
    <w:name w:val="u"/>
    <w:basedOn w:val="641"/>
    <w:next w:val="668"/>
    <w:link w:val="641"/>
    <w:pPr>
      <w:ind w:firstLine="539"/>
      <w:jc w:val="both"/>
    </w:pPr>
    <w:rPr>
      <w:color w:val="000000"/>
      <w:sz w:val="18"/>
      <w:szCs w:val="20"/>
    </w:rPr>
  </w:style>
  <w:style w:type="character" w:styleId="1929" w:default="1">
    <w:name w:val="Default Paragraph Font"/>
    <w:uiPriority w:val="1"/>
    <w:semiHidden/>
    <w:unhideWhenUsed/>
  </w:style>
  <w:style w:type="numbering" w:styleId="1930" w:default="1">
    <w:name w:val="No List"/>
    <w:uiPriority w:val="99"/>
    <w:semiHidden/>
    <w:unhideWhenUsed/>
  </w:style>
  <w:style w:type="table" w:styleId="19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GoncharovIA</cp:lastModifiedBy>
  <cp:revision>29</cp:revision>
  <dcterms:created xsi:type="dcterms:W3CDTF">2023-06-14T09:50:00Z</dcterms:created>
  <dcterms:modified xsi:type="dcterms:W3CDTF">2025-12-25T03:15:46Z</dcterms:modified>
  <cp:version>1048576</cp:version>
</cp:coreProperties>
</file>