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0" t="0" r="9525" b="9525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БЕЛОЯРСКИЙ РАЙОН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  <w:outlineLvl w:val="2"/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АДМИНИСТРАЦИЯ БЕЛОЯРСКОГО РАЙОНА</w:t>
      </w:r>
      <w:r>
        <w:rPr>
          <w:rFonts w:ascii="Times New Roman" w:hAnsi="Times New Roman" w:eastAsia="Times New Roman" w:cs="Times New Roman"/>
          <w:b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ru-RU"/>
        </w:rPr>
        <w:t xml:space="preserve">ПРОЕКТ</w:t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center"/>
        <w:keepNext/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sz w:val="28"/>
          <w:szCs w:val="20"/>
          <w:lang w:eastAsia="ru-RU"/>
        </w:rPr>
        <w:t xml:space="preserve">КОМИТЕТ ПО ФИНАНСАМ И НАЛОГОВОЙ ПОЛИТИКЕ АДМИНИСТРАЦИИ БЕЛОЯРСКОГО РАЙОНА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pacing w:val="24"/>
          <w:lang w:eastAsia="ru-RU"/>
        </w:rPr>
      </w:pPr>
      <w:r>
        <w:rPr>
          <w:rFonts w:ascii="Times New Roman" w:hAnsi="Times New Roman" w:eastAsia="Times New Roman" w:cs="Times New Roman"/>
          <w:b/>
          <w:spacing w:val="24"/>
          <w:lang w:eastAsia="ru-RU"/>
        </w:rPr>
      </w:r>
      <w:r>
        <w:rPr>
          <w:rFonts w:ascii="Times New Roman" w:hAnsi="Times New Roman" w:eastAsia="Times New Roman" w:cs="Times New Roman"/>
          <w:b/>
          <w:spacing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lang w:eastAsia="ru-RU"/>
        </w:rPr>
        <w:t xml:space="preserve">РАСПОРЯЖЕНИЕ</w:t>
      </w:r>
      <w:r>
        <w:rPr>
          <w:rFonts w:ascii="Times New Roman" w:hAnsi="Times New Roman" w:eastAsia="Times New Roman" w:cs="Times New Roman"/>
          <w:b/>
          <w:sz w:val="28"/>
          <w:lang w:eastAsia="ru-RU"/>
        </w:rPr>
      </w:r>
    </w:p>
    <w:p>
      <w:pPr>
        <w:spacing w:after="0" w:line="240" w:lineRule="auto"/>
        <w:tabs>
          <w:tab w:val="left" w:pos="5812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40" w:lineRule="auto"/>
        <w:tabs>
          <w:tab w:val="left" w:pos="1134" w:leader="none"/>
          <w:tab w:val="left" w:pos="5812" w:leader="none"/>
        </w:tabs>
        <w:rPr>
          <w:rFonts w:ascii="Times New Roman" w:hAnsi="Times New Roman" w:eastAsia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 xml:space="preserve">т     </w:t>
      </w: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 xml:space="preserve"> января </w:t>
      </w: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  <w:t xml:space="preserve">2026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года                                                                                                      №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___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- р</w:t>
      </w:r>
      <w:r>
        <w:rPr>
          <w:rFonts w:ascii="Times New Roman" w:hAnsi="Times New Roman" w:eastAsia="Times New Roman" w:cs="Times New Roman"/>
          <w:color w:val="000000"/>
          <w:sz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lang w:eastAsia="ru-RU"/>
        </w:rPr>
      </w:r>
      <w:r>
        <w:rPr>
          <w:rFonts w:ascii="Times New Roman" w:hAnsi="Times New Roman" w:eastAsia="Times New Roman" w:cs="Times New Roman"/>
          <w:sz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изменени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я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приложение 2 к распоряжению Комитета по финансам и налоговой политике администрации Белоярского района от 26 декабря 2024 года № 62-р «</w:t>
      </w: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Регламента информационного взаимодействия при проведении мониторинга достижения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предоставления субсидий, в том числе грантов в форме субсидий, юридическим лицам, индивидуальным предпринимателям, физическим лицам, лицам - производителям товаров, работ, услуг, в том числе бюджетным и автономным учреждениям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поселений Белоярского района), при использовании подсистемы бюджетной и финанс</w:t>
      </w:r>
      <w:r>
        <w:rPr>
          <w:rFonts w:ascii="Times New Roman" w:hAnsi="Times New Roman" w:cs="Times New Roman"/>
          <w:b/>
          <w:sz w:val="24"/>
          <w:szCs w:val="24"/>
        </w:rPr>
        <w:t xml:space="preserve">овой отчетности государственной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информационной системы Ханты-Мансийского автономного округа – Югры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«Региональный электронный бюджет Югры»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приложение 2 </w:t>
      </w:r>
      <w:r>
        <w:rPr>
          <w:rFonts w:ascii="Times New Roman" w:hAnsi="Times New Roman" w:cs="Times New Roman"/>
          <w:sz w:val="24"/>
          <w:szCs w:val="24"/>
        </w:rPr>
        <w:t xml:space="preserve">«Перечень</w:t>
      </w:r>
      <w:r>
        <w:rPr>
          <w:rFonts w:ascii="Times New Roman" w:hAnsi="Times New Roman" w:cs="Times New Roman"/>
          <w:sz w:val="24"/>
          <w:szCs w:val="24"/>
        </w:rPr>
        <w:t xml:space="preserve"> лиц, уполномоченных на формирование информации о мониторинге достижения результатов предоставления субсидии, в том</w:t>
      </w:r>
      <w:r>
        <w:rPr>
          <w:rFonts w:ascii="Times New Roman" w:hAnsi="Times New Roman" w:cs="Times New Roman"/>
          <w:sz w:val="24"/>
          <w:szCs w:val="24"/>
        </w:rPr>
        <w:t xml:space="preserve"> числе грантов в форме субсидий, юридическим лицам, индивидуальным предпринимателям, физическим лицам, лицам - производителям товаров, работ, услуг, в том числе бюджетным и автономным учреждениям Белоярского района (поселений в границах Белоярского района)</w:t>
      </w:r>
      <w:r>
        <w:rPr>
          <w:rFonts w:ascii="Times New Roman" w:hAnsi="Times New Roman" w:cs="Times New Roman"/>
          <w:sz w:val="24"/>
          <w:szCs w:val="24"/>
        </w:rPr>
        <w:t xml:space="preserve">, при использовании подсистемы </w:t>
      </w:r>
      <w:r>
        <w:rPr>
          <w:rFonts w:ascii="Times New Roman" w:hAnsi="Times New Roman" w:cs="Times New Roman"/>
          <w:sz w:val="24"/>
          <w:szCs w:val="24"/>
        </w:rPr>
        <w:t xml:space="preserve">Web</w:t>
      </w:r>
      <w:r>
        <w:rPr>
          <w:rFonts w:ascii="Times New Roman" w:hAnsi="Times New Roman" w:cs="Times New Roman"/>
          <w:sz w:val="24"/>
          <w:szCs w:val="24"/>
        </w:rPr>
        <w:t xml:space="preserve">-консолидация ГИС «РЭБ Югры»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к распоряжению Комитета по финансам и налоговой политике администрации Белоярского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26 декабря 2024</w:t>
      </w:r>
      <w:r>
        <w:rPr>
          <w:rFonts w:ascii="Times New Roman" w:hAnsi="Times New Roman" w:cs="Times New Roman"/>
          <w:sz w:val="24"/>
          <w:szCs w:val="24"/>
        </w:rPr>
        <w:t xml:space="preserve"> года № 62-р «Об утверждении Регламента информационного взаимодействия при проведении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лицам, ли</w:t>
      </w:r>
      <w:r>
        <w:rPr>
          <w:rFonts w:ascii="Times New Roman" w:hAnsi="Times New Roman" w:cs="Times New Roman"/>
          <w:sz w:val="24"/>
          <w:szCs w:val="24"/>
        </w:rPr>
        <w:t xml:space="preserve">цам - производителям товаров, работ, услуг, в том числе бюджетным и автономным учреждениям Белоярского района (поселений Белоярского района), при использовании подсистемы бюджетной и финансовой отчетности государственной информационной системы Ханты-Мансий</w:t>
      </w:r>
      <w:r>
        <w:rPr>
          <w:rFonts w:ascii="Times New Roman" w:hAnsi="Times New Roman" w:cs="Times New Roman"/>
          <w:sz w:val="24"/>
          <w:szCs w:val="24"/>
        </w:rPr>
        <w:t xml:space="preserve">ского автономного округа – Югры</w:t>
      </w:r>
      <w:r>
        <w:rPr>
          <w:rFonts w:ascii="Times New Roman" w:hAnsi="Times New Roman" w:cs="Times New Roman"/>
          <w:sz w:val="24"/>
          <w:szCs w:val="24"/>
        </w:rPr>
        <w:t xml:space="preserve"> «Региональный электронный бюджет Югры»»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изменение</w:t>
      </w:r>
      <w:r>
        <w:rPr>
          <w:rFonts w:ascii="Times New Roman" w:hAnsi="Times New Roman" w:cs="Times New Roman"/>
          <w:sz w:val="24"/>
          <w:szCs w:val="24"/>
        </w:rPr>
        <w:t xml:space="preserve">, изложив его в редакции согласно приложению к настоящему распоряжению.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Контроль за выполнением распоря</w:t>
      </w:r>
      <w:r>
        <w:rPr>
          <w:rFonts w:ascii="Times New Roman" w:hAnsi="Times New Roman" w:cs="Times New Roman"/>
          <w:sz w:val="24"/>
          <w:szCs w:val="24"/>
        </w:rPr>
        <w:t xml:space="preserve">жения возложить на заместителя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председателя Комитета по финансам и налоговой политике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Белоярского района по бюджету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Настоящее распоряжение вступает в силу с момента подписания.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268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268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Заместитель главы Белоярского района,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268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председатель Комитета по финансам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268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 налоговой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политике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администрации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2268" w:leader="none"/>
          <w:tab w:val="left" w:pos="5812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6" w:h="16838" w:orient="portrait"/>
          <w:pgMar w:top="1134" w:right="567" w:bottom="1134" w:left="1417" w:header="720" w:footer="720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Белоярского района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И.А. Плохих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распоряжению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распоряжению Комитета по финансам и налоговой политике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Белоярского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декабря 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года № 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р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2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распоряжению Комитета по финансам и налоговой политике администрации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Белоярского района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left="4836" w:firstLine="6"/>
        <w:spacing w:after="0" w:line="240" w:lineRule="auto"/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26 декабря 2024 года № 62 - р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widowControl w:val="o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лиц, уполномоченных на формирование информации о монит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оринге достижения результатов предоставления субсидии, в том числе грантов в форме субсидий, юридическим лицам, индивидуальным предпринимателям, физическим лицам, лицам - производителям товаров, работ, услуг, в том числе бюджетным и автономным учреждениям </w:t>
      </w:r>
      <w:r>
        <w:rPr>
          <w:rFonts w:ascii="Times New Roman" w:hAnsi="Times New Roman" w:eastAsia="SimSun" w:cs="Times New Roman"/>
          <w:b/>
          <w:bCs/>
          <w:sz w:val="24"/>
          <w:szCs w:val="24"/>
        </w:rPr>
        <w:t xml:space="preserve">Белоярского района (поселений в границах Белоярского района),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 использовании подсистемы 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-консолидация ГИС «РЭБ Югры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47"/>
        <w:tblW w:w="0" w:type="auto"/>
        <w:tblLook w:val="04A0" w:firstRow="1" w:lastRow="0" w:firstColumn="1" w:lastColumn="0" w:noHBand="0" w:noVBand="1"/>
      </w:tblPr>
      <w:tblGrid>
        <w:gridCol w:w="716"/>
        <w:gridCol w:w="3964"/>
        <w:gridCol w:w="4665"/>
      </w:tblGrid>
      <w:tr>
        <w:tblPrEx/>
        <w:trPr/>
        <w:tc>
          <w:tcPr>
            <w:tcW w:w="71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9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Имя , Отчество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66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формирование информации о мониторинге достижения результатов предоставления субсидий из бюджета </w:t>
            </w: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Белоярского района (поселений в границах Белоярского района)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получателям средств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4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Сандова Снежана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665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сводно-аналитического отдела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71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39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Клеваник Максим Викторович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auto"/>
            <w:tcW w:w="466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специалист-эксперт сводно-аналитического отдела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W w:w="93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формирование информации о мониторинге достижения результатов предоставления субсидий из бюджета </w:t>
            </w:r>
            <w:r>
              <w:rPr>
                <w:rFonts w:ascii="Times New Roman" w:hAnsi="Times New Roman" w:eastAsia="SimSun" w:cs="Times New Roman"/>
                <w:b/>
                <w:bCs/>
                <w:sz w:val="24"/>
                <w:szCs w:val="24"/>
              </w:rPr>
              <w:t xml:space="preserve">Белоярского района (поселений в границах Белоярского района)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автономным и бюджетным учреждениям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4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Сандова Снежана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665" w:type="dxa"/>
            <w:textDirection w:val="lrTb"/>
            <w:noWrap w:val="false"/>
          </w:tcPr>
          <w:p>
            <w:pPr>
              <w:jc w:val="left"/>
              <w:spacing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сводно-аналитического отдела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6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96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Никурова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66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сводно-аналитического отдела Комитета по финансам и налоговой политике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</w:t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11"/>
      <w:footerReference w:type="defaul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43112312"/>
      <w:rPr/>
    </w:sdtPr>
    <w:sdtContent>
      <w:p>
        <w:pPr>
          <w:pStyle w:val="7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4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rPr>
        <w:rStyle w:val="743"/>
      </w:rPr>
      <w:framePr w:wrap="around" w:vAnchor="text" w:hAnchor="margin" w:xAlign="center" w:y="1"/>
    </w:pPr>
    <w:r>
      <w:rPr>
        <w:rStyle w:val="743"/>
      </w:rPr>
      <w:fldChar w:fldCharType="begin"/>
    </w:r>
    <w:r>
      <w:rPr>
        <w:rStyle w:val="743"/>
      </w:rPr>
      <w:instrText xml:space="preserve">PAGE  </w:instrText>
    </w:r>
    <w:r>
      <w:rPr>
        <w:rStyle w:val="743"/>
      </w:rPr>
      <w:fldChar w:fldCharType="separate"/>
    </w:r>
    <w:r>
      <w:rPr>
        <w:rStyle w:val="743"/>
      </w:rPr>
      <w:t xml:space="preserve">3</w:t>
    </w:r>
    <w:r>
      <w:rPr>
        <w:rStyle w:val="743"/>
      </w:rPr>
      <w:fldChar w:fldCharType="end"/>
    </w:r>
    <w:r>
      <w:rPr>
        <w:rStyle w:val="743"/>
      </w:rPr>
    </w:r>
  </w:p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39"/>
    <w:next w:val="73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4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39"/>
    <w:next w:val="73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4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39"/>
    <w:next w:val="73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4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39"/>
    <w:next w:val="73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4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39"/>
    <w:next w:val="73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4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39"/>
    <w:next w:val="73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4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39"/>
    <w:next w:val="73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4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39"/>
    <w:next w:val="73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4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39"/>
    <w:next w:val="73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4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73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39"/>
    <w:next w:val="73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40"/>
    <w:link w:val="34"/>
    <w:uiPriority w:val="10"/>
    <w:rPr>
      <w:sz w:val="48"/>
      <w:szCs w:val="48"/>
    </w:rPr>
  </w:style>
  <w:style w:type="paragraph" w:styleId="36">
    <w:name w:val="Subtitle"/>
    <w:basedOn w:val="739"/>
    <w:next w:val="73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40"/>
    <w:link w:val="36"/>
    <w:uiPriority w:val="11"/>
    <w:rPr>
      <w:sz w:val="24"/>
      <w:szCs w:val="24"/>
    </w:rPr>
  </w:style>
  <w:style w:type="paragraph" w:styleId="38">
    <w:name w:val="Quote"/>
    <w:basedOn w:val="739"/>
    <w:next w:val="73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39"/>
    <w:next w:val="73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40"/>
    <w:link w:val="745"/>
    <w:uiPriority w:val="99"/>
  </w:style>
  <w:style w:type="character" w:styleId="45">
    <w:name w:val="Footer Char"/>
    <w:basedOn w:val="740"/>
    <w:link w:val="746"/>
    <w:uiPriority w:val="99"/>
  </w:style>
  <w:style w:type="paragraph" w:styleId="46">
    <w:name w:val="Caption"/>
    <w:basedOn w:val="739"/>
    <w:next w:val="73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4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3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40"/>
    <w:uiPriority w:val="99"/>
    <w:unhideWhenUsed/>
    <w:rPr>
      <w:vertAlign w:val="superscript"/>
    </w:rPr>
  </w:style>
  <w:style w:type="paragraph" w:styleId="178">
    <w:name w:val="endnote text"/>
    <w:basedOn w:val="73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40"/>
    <w:uiPriority w:val="99"/>
    <w:semiHidden/>
    <w:unhideWhenUsed/>
    <w:rPr>
      <w:vertAlign w:val="superscript"/>
    </w:rPr>
  </w:style>
  <w:style w:type="paragraph" w:styleId="181">
    <w:name w:val="toc 1"/>
    <w:basedOn w:val="739"/>
    <w:next w:val="73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39"/>
    <w:next w:val="73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39"/>
    <w:next w:val="73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39"/>
    <w:next w:val="73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39"/>
    <w:next w:val="73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39"/>
    <w:next w:val="73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39"/>
    <w:next w:val="73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39"/>
    <w:next w:val="73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39"/>
    <w:next w:val="73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39"/>
    <w:next w:val="739"/>
    <w:uiPriority w:val="99"/>
    <w:unhideWhenUsed/>
    <w:pPr>
      <w:spacing w:after="0" w:afterAutospacing="0"/>
    </w:pPr>
  </w:style>
  <w:style w:type="paragraph" w:styleId="739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740" w:default="1">
    <w:name w:val="Default Paragraph Font"/>
    <w:uiPriority w:val="1"/>
    <w:semiHidden/>
    <w:unhideWhenUsed/>
  </w:style>
  <w:style w:type="table" w:styleId="7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2" w:default="1">
    <w:name w:val="No List"/>
    <w:uiPriority w:val="99"/>
    <w:semiHidden/>
    <w:unhideWhenUsed/>
  </w:style>
  <w:style w:type="character" w:styleId="743">
    <w:name w:val="page number"/>
    <w:qFormat/>
  </w:style>
  <w:style w:type="paragraph" w:styleId="744">
    <w:name w:val="Balloon Text"/>
    <w:basedOn w:val="739"/>
    <w:link w:val="75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45">
    <w:name w:val="Header"/>
    <w:basedOn w:val="739"/>
    <w:link w:val="75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46">
    <w:name w:val="Footer"/>
    <w:basedOn w:val="739"/>
    <w:link w:val="752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747">
    <w:name w:val="Table Grid"/>
    <w:basedOn w:val="741"/>
    <w:uiPriority w:val="39"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8" w:customStyle="1">
    <w:name w:val="Верхний колонтитул1"/>
    <w:basedOn w:val="739"/>
    <w:next w:val="745"/>
    <w:link w:val="749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49" w:customStyle="1">
    <w:name w:val="Верхний колонтитул Знак"/>
    <w:basedOn w:val="740"/>
    <w:link w:val="748"/>
    <w:uiPriority w:val="99"/>
    <w:qFormat/>
  </w:style>
  <w:style w:type="character" w:styleId="750" w:customStyle="1">
    <w:name w:val="Верхний колонтитул Знак1"/>
    <w:basedOn w:val="740"/>
    <w:link w:val="745"/>
    <w:uiPriority w:val="99"/>
    <w:qFormat/>
  </w:style>
  <w:style w:type="character" w:styleId="751" w:customStyle="1">
    <w:name w:val="Текст выноски Знак"/>
    <w:basedOn w:val="740"/>
    <w:link w:val="744"/>
    <w:uiPriority w:val="99"/>
    <w:semiHidden/>
    <w:qFormat/>
    <w:rPr>
      <w:rFonts w:ascii="Segoe UI" w:hAnsi="Segoe UI" w:cs="Segoe UI"/>
      <w:sz w:val="18"/>
      <w:szCs w:val="18"/>
    </w:rPr>
  </w:style>
  <w:style w:type="character" w:styleId="752" w:customStyle="1">
    <w:name w:val="Нижний колонтитул Знак"/>
    <w:basedOn w:val="740"/>
    <w:link w:val="746"/>
    <w:uiPriority w:val="99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Стародубова Ольга Сергеевна</dc:creator>
  <cp:lastModifiedBy>KlevanikMV</cp:lastModifiedBy>
  <cp:revision>14</cp:revision>
  <dcterms:created xsi:type="dcterms:W3CDTF">2023-09-25T12:43:00Z</dcterms:created>
  <dcterms:modified xsi:type="dcterms:W3CDTF">2026-01-20T06:34:10Z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9FF063A0CAB149BFAEAA80B634B3521C_13</vt:lpwstr>
  </property>
</Properties>
</file>