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0B" w:rsidRDefault="001A2E60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 1 к приказу</w:t>
      </w:r>
    </w:p>
    <w:p w:rsidR="00B04C0B" w:rsidRDefault="001A2E6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Департамента промышленности </w:t>
      </w:r>
    </w:p>
    <w:p w:rsidR="00B04C0B" w:rsidRDefault="001A2E60">
      <w:pPr>
        <w:tabs>
          <w:tab w:val="left" w:pos="4395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Ханты-Мансийского автономного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br/>
        <w:t xml:space="preserve"> округа – Югры</w:t>
      </w:r>
    </w:p>
    <w:p w:rsidR="00B04C0B" w:rsidRDefault="001A2E60">
      <w:pPr>
        <w:tabs>
          <w:tab w:val="left" w:pos="4395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от «___» _____ 2019 г.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38-п-___</w:t>
      </w:r>
    </w:p>
    <w:p w:rsidR="00B04C0B" w:rsidRDefault="00B04C0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B04C0B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439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B04C0B" w:rsidRDefault="001A2E60">
      <w:pPr>
        <w:tabs>
          <w:tab w:val="left" w:pos="439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конкурса событийного туризма </w:t>
      </w:r>
    </w:p>
    <w:p w:rsidR="00B04C0B" w:rsidRDefault="001A2E60">
      <w:pPr>
        <w:tabs>
          <w:tab w:val="left" w:pos="439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Ханты-Мансийского автономного округа – Югры</w:t>
      </w:r>
    </w:p>
    <w:p w:rsidR="00B04C0B" w:rsidRDefault="001A2E60">
      <w:pPr>
        <w:tabs>
          <w:tab w:val="left" w:pos="439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Положение)</w:t>
      </w:r>
    </w:p>
    <w:p w:rsidR="00B04C0B" w:rsidRDefault="00B04C0B">
      <w:pPr>
        <w:tabs>
          <w:tab w:val="left" w:pos="4395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4395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B04C0B" w:rsidRDefault="00B04C0B">
      <w:pPr>
        <w:tabs>
          <w:tab w:val="left" w:pos="4395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709"/>
          <w:tab w:val="left" w:pos="1276"/>
          <w:tab w:val="left" w:pos="1418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1.1. Настоящее Положение определяет порядок проведения конкурса событийного туризма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Конкурс).</w:t>
      </w:r>
    </w:p>
    <w:p w:rsidR="00B04C0B" w:rsidRDefault="001A2E60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1.2. Организатором Конкурса выступает Департамент промышленности Ханты-Мансийского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 – Югры (далее – Департамент).</w:t>
      </w:r>
    </w:p>
    <w:p w:rsidR="00B04C0B" w:rsidRDefault="001A2E60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1.3. Понятия, используемые в Положении:</w:t>
      </w:r>
    </w:p>
    <w:p w:rsidR="00B04C0B" w:rsidRDefault="001A2E60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 – комплект документов, предоставляемый участником с целью участия в Конкурсе;</w:t>
      </w:r>
    </w:p>
    <w:p w:rsidR="00B04C0B" w:rsidRDefault="001A2E60">
      <w:pPr>
        <w:tabs>
          <w:tab w:val="left" w:pos="709"/>
          <w:tab w:val="left" w:pos="1276"/>
          <w:tab w:val="left" w:pos="1418"/>
          <w:tab w:val="left" w:pos="1560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туристские события/мероприятия</w:t>
      </w:r>
      <w:bookmarkStart w:id="1" w:name="__DdeLink__27083_49836631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мероприятия, проводимые в области культуры, наро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дных традиций и промыслов (фестивали, концерты, карнавалы, шоу), спорта (соревнования, спортивные слеты, фестивали экстремальных видов спорта), исторической направленности (исторические реконструкции и фестивали, посвященные историческим датам и событиям),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гастрономического туризма (гастрономические и кулинарные шоу, фестивали, выставки, дегустации), а также события для детей, семей, молодежи, пожилых, людей с ограниченными возможностями здоровья (фестивали, конкурсы, концерты, соревнования и т.д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B04C0B" w:rsidRDefault="001A2E60">
      <w:pPr>
        <w:tabs>
          <w:tab w:val="left" w:pos="567"/>
          <w:tab w:val="left" w:pos="1276"/>
          <w:tab w:val="left" w:pos="1418"/>
          <w:tab w:val="left" w:pos="1560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телевизионный сюжет, видеорепортаж, видеоблог – освещение туристских событий/мероприятий проводимых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 (далее – автономного округа)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04C0B" w:rsidRDefault="001A2E60">
      <w:pPr>
        <w:tabs>
          <w:tab w:val="left" w:pos="567"/>
          <w:tab w:val="left" w:pos="1276"/>
          <w:tab w:val="left" w:pos="1418"/>
          <w:tab w:val="left" w:pos="1560"/>
        </w:tabs>
        <w:spacing w:after="0" w:line="240" w:lineRule="auto"/>
        <w:ind w:firstLine="73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экспертный совет –</w:t>
      </w:r>
      <w:r>
        <w:rPr>
          <w:rFonts w:ascii="Times New Roman" w:hAnsi="Times New Roman" w:cs="Times New Roman"/>
          <w:sz w:val="28"/>
          <w:szCs w:val="28"/>
        </w:rPr>
        <w:t xml:space="preserve"> коллегиальный орган, сформированный на время про</w:t>
      </w:r>
      <w:r>
        <w:rPr>
          <w:rFonts w:ascii="Times New Roman" w:hAnsi="Times New Roman" w:cs="Times New Roman"/>
          <w:sz w:val="28"/>
          <w:szCs w:val="28"/>
        </w:rPr>
        <w:t>ведения Конкурса для определения лауреатов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4C0B" w:rsidRDefault="001A2E60">
      <w:pPr>
        <w:tabs>
          <w:tab w:val="left" w:pos="567"/>
          <w:tab w:val="left" w:pos="1276"/>
          <w:tab w:val="left" w:pos="1418"/>
          <w:tab w:val="left" w:pos="1560"/>
        </w:tabs>
        <w:spacing w:after="0" w:line="240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лауреат Конкурса – участник, заявка которого признана победившей в Конкурсе по номинации, категории номинации.</w:t>
      </w:r>
    </w:p>
    <w:p w:rsidR="00B04C0B" w:rsidRDefault="00B04C0B">
      <w:pPr>
        <w:tabs>
          <w:tab w:val="left" w:pos="4395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Конкурса</w:t>
      </w:r>
    </w:p>
    <w:p w:rsidR="00B04C0B" w:rsidRDefault="00B04C0B">
      <w:pPr>
        <w:tabs>
          <w:tab w:val="left" w:pos="4395"/>
        </w:tabs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both"/>
        <w:sectPr w:rsidR="00B04C0B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Конкурса является создание условий для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событийного туризма в автономном округе и продвижение туристских событий/мероприятий среди населения автономного округа.</w:t>
      </w: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Основные задачи Конкурса:</w:t>
      </w: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сформировать «Календарь туристских событий автономного округа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год»;</w:t>
      </w: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выявить лучшие турист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события/мероприятия автономного округа для продвижения на региональном и федеральном уровне;</w:t>
      </w: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создание предпосылок для продвижения туристской привлекательности автономного округа с использованием телевизионных возможностей;</w:t>
      </w: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популяризация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исторического и культурного наследия автономного округа.</w:t>
      </w:r>
    </w:p>
    <w:p w:rsidR="00B04C0B" w:rsidRDefault="00B04C0B">
      <w:pPr>
        <w:tabs>
          <w:tab w:val="left" w:pos="4395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Номинации и участники Конкурса</w:t>
      </w:r>
    </w:p>
    <w:p w:rsidR="00B04C0B" w:rsidRDefault="00B04C0B">
      <w:pPr>
        <w:tabs>
          <w:tab w:val="left" w:pos="4395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 Конкурс проводится по следующим номинациям: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3.1.1 «Туристское событие Югры 2020 года»: туристские события/мероприятия, планируемые к проведению в 2020 году;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3.1.2 «Лидер событийного туризма Югры 2019 года»: проведенные, и/или планируемые к проведению в 2019 году туристские события/мероприятия;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3.1.3 «Лучшее освещение события в 2019 году»: телевизионный сюжет, видеорепортаж, видеоблог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вышедший в эфир или опубли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кованный в 2019 году.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 не должен содержать информации о религиозных движениях, в том числе религиозной символики, изображения сцен насилия, агрессии, аудио и видеоинформации в любой форме унижающей или оскорбляющей достоинство человека или группы люде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ненормативной лексики.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Участники Конкурса – юридические лица независимо от организационно-правовых форм, индивидуальные предприниматели, физические лица зарегистрированные и осуществляющие деятельность в автономном округе, туроператоры и турагенты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автономного округа.</w:t>
      </w:r>
    </w:p>
    <w:p w:rsidR="00B04C0B" w:rsidRDefault="001A2E60">
      <w:pPr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Участники Конкурса подают заявку на участие в Конкурсе (далее — Заявка)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1.</w:t>
      </w:r>
    </w:p>
    <w:p w:rsidR="00B04C0B" w:rsidRDefault="001A2E60">
      <w:pPr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Участники Конкурса готовят презентацию конкурсной работы с визуализацией (фото, видео, графические изображения и т.д.)</w:t>
      </w:r>
    </w:p>
    <w:p w:rsidR="00B04C0B" w:rsidRDefault="001A2E60">
      <w:pPr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Номинация считается состоявшейся при наличии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менее одной представленной заявки, которая соответствует условиям Положения.</w:t>
      </w:r>
    </w:p>
    <w:p w:rsidR="00B04C0B" w:rsidRDefault="00B04C0B">
      <w:pPr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проведения и определения лауреатов Конкурса </w:t>
      </w:r>
    </w:p>
    <w:p w:rsidR="00B04C0B" w:rsidRDefault="00B04C0B">
      <w:pPr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Конкурс проводится с </w:t>
      </w:r>
      <w:bookmarkStart w:id="2" w:name="__DdeLink__228_6063675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по 9 ноября 2019 года в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этапа: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с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по </w:t>
      </w:r>
      <w:bookmarkStart w:id="3" w:name="__DdeLink__7262_32248452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2019 года – прием и регистрация Заявок;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с 29 октября 2019 года по 7 ноября 2019 года – рассмотрение Заявок экспертным советом;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– 8-9 ноя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2019 года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презентации туристских событий/мероприятий, проведение заседания членами экспертного совета и определение лауреатов Конкурса.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Для участия в Конкурсе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предоставить в Департамент, по адресу электронной почты: </w:t>
      </w:r>
      <w:hyperlink r:id="rId7">
        <w:r>
          <w:rPr>
            <w:rStyle w:val="-"/>
            <w:rFonts w:ascii="Times New Roman" w:hAnsi="Times New Roman" w:cs="Times New Roman"/>
            <w:sz w:val="28"/>
            <w:szCs w:val="28"/>
          </w:rPr>
          <w:t>depprom@admhmao.ru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указанием названия Конкурса в теме сообщения) заполненную Заявку и презентацию конкурсной работы в формате 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pdf, .mp4.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Заявка, поступившая в Департамент, регистрируетс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 1 рабочего дня после 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поступления.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Секретарь экспертного совета (далее — Секретарь) проверяет Заявку на соответствие требованиям Положения, и в течение 3 рабочих дней информирует участника об отклонении либо принятии Заявки.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4.5. Участник в срок, предусмотренный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этапом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онкурса установленный в пункте 4.1. Положения, вправе доработать Заявку и направить ее повторно в адрес Департамента.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4.6. Заявки, представленные после окончания срока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Конкурса, установленного в пункте 4.1. Положения, к рассмотрению не принимаются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4.7. Секретарь в течение 3 рабочих дней после окончания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Конкурса передает принятые для участия в Конкурсе Заявки членам экспертного совета в электронной ф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орме.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4.8. Оценка презентаций конкурсных работ, указанных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членами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экспертного совета по балльной системе (от 0 до 10 баллов) в соответствии с критериями, указанными в разделе 5 Положения, и формами оценочных листов по каждой номинации в соответствии с Приложением</w:t>
      </w:r>
      <w:r w:rsidRPr="001C4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C4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Положению.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По итогам Конкурса определяются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лауреаты Конкурса,  набравшие наибольшее количество баллов в каждой номинации, которые награждаются дипломами Департамента за 1 место и памятными знаками.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набравшие одинаковое количество баллов признаются равноправными лауреатами Конкур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Награждение лауреатов Конкурса состоится на специальной церемонии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XV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Туристской выставки-ярмарки «ЮграТур 2019».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Лауреаты номинации «Туристское событие Югры 2020 года» включаются в «Календарь туристских событий Югры 2020 года»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направляются для включения в «Национальный календарь событий 2020 года».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Туристские события/мероприятия, не ставшие лауреатами в данной номинации, отбираются экспертным советом для включения в «Календарь туристских событий Югры 2020 года».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является бесплатным.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4.13. Расходы участников по участию в Конкурсе (проезд, питание, проживание) осуществляются за собственные средства.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4.14. Денежных призов лауреатам Конкурса не предусмотрено.</w:t>
      </w:r>
    </w:p>
    <w:p w:rsidR="00B04C0B" w:rsidRDefault="00B04C0B">
      <w:pPr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Критерии оценки </w:t>
      </w:r>
    </w:p>
    <w:p w:rsidR="00B04C0B" w:rsidRDefault="00B04C0B">
      <w:pPr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Критерии оценки Заяв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в номинации «Туристское событие Югры 2020 года»: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оригинальность замысла и реализации;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значимость туристского события/мероприятия для развития событийного туризма муниципального образования и автономного округа;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перспективы развития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туристского соб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/мероприятия;</w:t>
      </w:r>
    </w:p>
    <w:p w:rsidR="00B04C0B" w:rsidRDefault="001A2E60">
      <w:pPr>
        <w:tabs>
          <w:tab w:val="left" w:pos="709"/>
          <w:tab w:val="left" w:pos="851"/>
          <w:tab w:val="left" w:pos="1418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география и количество участников туристского события/мероприятия;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география и количество туристов туристского события/мероприятия;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взаимодействие с представителями туриндустрии (туроператоры, коллективные средства размещения, произ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водители туристских сувениров);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туров и экскурсионных программ для туристов;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проведение рекламной кампании по привлечению туристов;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сайта туристского события/мероприятия;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креативность подхода при подготовке и проведении презентации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туристского события/мероприятия (творческая (костюмированная) презентация, массовость презентации, сопровождение презентации видео и фото материалов);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4" w:name="__DdeLink__5088_13402063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включения события/мероприятия</w:t>
      </w:r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«Календарь туристских событий Югры 2020 года»;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включения события/мероприятия в «Национальный календарь событий 2020 года».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Критерии оценки Заявок</w:t>
      </w: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номинации «Лидер событийного туризма Югры 2019 года»: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оригинальность замысла и реализации туристских событий/мероприятий;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значимость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уристских событий/мероприятий для развития событийного туризма муниципального образования и автономного округа;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география и количество участников туристских событий/мероприятий;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география и количество туристов туристских событий/мероприятий;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взаимоде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йствие с представителями туриндустрии (туроператоры, коллективные средства размещения, производители туристских сувениров);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и реализация туров и экскурсионных программ для туристов во время проведения туристских событий/мероприятий;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проведение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рекламной кампании по продвижению туристских событий/мероприятий;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сайта туристских событий/мероприятий;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креативность подхода при подготовке и проведении презентации туристского события/мероприятия (творческая (костюмированная) презентация, масс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овость презентации, сопровождение презентации видео и фото материалов).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5.3. Критерии оценки Заявок в номинации «Лучшее осве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щение события в 2019 году»: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оригинальность идеи и творческого замысла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информативность;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творческая новизна и оригинальность;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соответствие содержания конкурсной работы заявленной теме;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звукового сопровождения, видеоэффекты;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художественный и технический уровень исполнения (композиция, настроение, цвет, свет);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соблюдение авторских прав;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содержательность конкурсной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 законченность сюжета;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эмоциональное восприятие.</w:t>
      </w:r>
    </w:p>
    <w:p w:rsidR="00B04C0B" w:rsidRDefault="00B04C0B">
      <w:pPr>
        <w:tabs>
          <w:tab w:val="left" w:pos="709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highlight w:val="darkYellow"/>
          <w:lang w:eastAsia="ru-RU"/>
        </w:rPr>
      </w:pP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center"/>
      </w:pPr>
      <w:r>
        <w:rPr>
          <w:rFonts w:ascii="Times New Roman" w:hAnsi="Times New Roman"/>
          <w:b/>
          <w:sz w:val="28"/>
          <w:szCs w:val="28"/>
        </w:rPr>
        <w:t>6. Порядок работы экспертного совета</w:t>
      </w:r>
    </w:p>
    <w:p w:rsidR="00B04C0B" w:rsidRDefault="00B04C0B">
      <w:pPr>
        <w:tabs>
          <w:tab w:val="left" w:pos="4395"/>
        </w:tabs>
        <w:spacing w:after="0" w:line="240" w:lineRule="auto"/>
        <w:ind w:firstLine="737"/>
        <w:jc w:val="center"/>
        <w:rPr>
          <w:rFonts w:ascii="Times New Roman" w:hAnsi="Times New Roman"/>
          <w:b/>
          <w:sz w:val="28"/>
          <w:szCs w:val="28"/>
        </w:rPr>
      </w:pPr>
    </w:p>
    <w:p w:rsidR="00B04C0B" w:rsidRDefault="001A2E60">
      <w:pPr>
        <w:pStyle w:val="af1"/>
        <w:tabs>
          <w:tab w:val="left" w:pos="1134"/>
          <w:tab w:val="left" w:pos="1276"/>
          <w:tab w:val="left" w:pos="1418"/>
          <w:tab w:val="left" w:pos="1843"/>
        </w:tabs>
        <w:ind w:firstLine="737"/>
        <w:jc w:val="both"/>
        <w:rPr>
          <w:highlight w:val="lightGray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6.1. </w:t>
      </w:r>
      <w:r>
        <w:rPr>
          <w:rFonts w:ascii="Times New Roman" w:hAnsi="Times New Roman"/>
          <w:sz w:val="28"/>
          <w:szCs w:val="28"/>
        </w:rPr>
        <w:t>Экспертный совет образуется в составе председателя эксперт</w:t>
      </w:r>
      <w:r>
        <w:rPr>
          <w:rFonts w:ascii="Times New Roman" w:hAnsi="Times New Roman"/>
          <w:sz w:val="28"/>
          <w:szCs w:val="28"/>
        </w:rPr>
        <w:t xml:space="preserve">ного совета, заместителя председателя экспертного совета, Секретаря и иных членов </w:t>
      </w:r>
      <w:r>
        <w:rPr>
          <w:rFonts w:ascii="Times New Roman" w:hAnsi="Times New Roman"/>
          <w:sz w:val="28"/>
          <w:szCs w:val="28"/>
        </w:rPr>
        <w:t>экспертного совета.</w:t>
      </w:r>
    </w:p>
    <w:p w:rsidR="00B04C0B" w:rsidRDefault="001A2E60">
      <w:pPr>
        <w:pStyle w:val="af1"/>
        <w:tabs>
          <w:tab w:val="left" w:pos="1134"/>
          <w:tab w:val="left" w:pos="1276"/>
          <w:tab w:val="left" w:pos="1418"/>
          <w:tab w:val="left" w:pos="1843"/>
        </w:tabs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6.2. Председателем экспертного совета </w:t>
      </w:r>
      <w:r>
        <w:rPr>
          <w:rFonts w:ascii="Times New Roman" w:hAnsi="Times New Roman"/>
          <w:sz w:val="28"/>
          <w:szCs w:val="28"/>
        </w:rPr>
        <w:t xml:space="preserve">является начальник Управления туризма Департамента, в случае его отсутствия полномочия исполняет заместитель председателя экспертного совета.  </w:t>
      </w:r>
    </w:p>
    <w:p w:rsidR="00B04C0B" w:rsidRDefault="001A2E60">
      <w:pPr>
        <w:pStyle w:val="af1"/>
        <w:ind w:firstLine="737"/>
        <w:jc w:val="both"/>
      </w:pPr>
      <w:r>
        <w:rPr>
          <w:rFonts w:ascii="Times New Roman" w:hAnsi="Times New Roman"/>
          <w:sz w:val="28"/>
          <w:szCs w:val="28"/>
        </w:rPr>
        <w:t>6.3. Организационно-техническую деятельность экспертно</w:t>
      </w:r>
      <w:r>
        <w:rPr>
          <w:rFonts w:ascii="Times New Roman" w:hAnsi="Times New Roman"/>
          <w:sz w:val="28"/>
          <w:szCs w:val="28"/>
        </w:rPr>
        <w:t>го совета осуществляет Секретарь. Секретарем является главный специалист-эксперт отдела мониторинга туризма и межрегионального сотрудничества</w:t>
      </w:r>
      <w:r>
        <w:rPr>
          <w:rFonts w:ascii="Times New Roman" w:hAnsi="Times New Roman"/>
          <w:sz w:val="28"/>
          <w:szCs w:val="28"/>
        </w:rPr>
        <w:t xml:space="preserve"> Управления туризма Департамента, в случае отсутствия – лицо, назначенное председателем экспертного совета, в случа</w:t>
      </w:r>
      <w:r>
        <w:rPr>
          <w:rFonts w:ascii="Times New Roman" w:hAnsi="Times New Roman"/>
          <w:sz w:val="28"/>
          <w:szCs w:val="28"/>
        </w:rPr>
        <w:t xml:space="preserve">е его отсутствия заместителем председателя экспертного совета.  </w:t>
      </w:r>
    </w:p>
    <w:p w:rsidR="00B04C0B" w:rsidRDefault="001A2E60">
      <w:pPr>
        <w:pStyle w:val="af1"/>
        <w:ind w:firstLine="737"/>
        <w:jc w:val="both"/>
      </w:pPr>
      <w:r>
        <w:rPr>
          <w:rFonts w:ascii="Times New Roman" w:hAnsi="Times New Roman"/>
          <w:sz w:val="28"/>
          <w:szCs w:val="28"/>
        </w:rPr>
        <w:t>6.4. В состав экспертного совета входят:</w:t>
      </w:r>
    </w:p>
    <w:p w:rsidR="00B04C0B" w:rsidRDefault="001A2E60">
      <w:pPr>
        <w:pStyle w:val="af1"/>
        <w:ind w:firstLine="737"/>
        <w:jc w:val="both"/>
      </w:pPr>
      <w:r>
        <w:rPr>
          <w:rFonts w:ascii="Times New Roman" w:hAnsi="Times New Roman"/>
          <w:sz w:val="28"/>
          <w:szCs w:val="28"/>
        </w:rPr>
        <w:t>представители общественной организации «Спасение Югры», автономного учреждения Ханты-Мансийского автономного округа – Югры «Центр «Открытый регион», в</w:t>
      </w:r>
      <w:r>
        <w:rPr>
          <w:rFonts w:ascii="Times New Roman" w:hAnsi="Times New Roman"/>
          <w:sz w:val="28"/>
          <w:szCs w:val="28"/>
        </w:rPr>
        <w:t xml:space="preserve">едущих </w:t>
      </w:r>
      <w:bookmarkStart w:id="5" w:name="_GoBack1"/>
      <w:bookmarkEnd w:id="5"/>
      <w:r>
        <w:rPr>
          <w:rFonts w:ascii="Times New Roman" w:hAnsi="Times New Roman"/>
          <w:sz w:val="28"/>
          <w:szCs w:val="28"/>
        </w:rPr>
        <w:t>экспертов в области туризма.</w:t>
      </w:r>
    </w:p>
    <w:p w:rsidR="00B04C0B" w:rsidRDefault="001A2E60">
      <w:pPr>
        <w:pStyle w:val="af1"/>
        <w:tabs>
          <w:tab w:val="left" w:pos="1276"/>
        </w:tabs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6.5. Экспертный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осуществляет оценку туристских событий/мероприятий Конкурса по балльной системе в соответствии с критериями, указанными в разделе 5 Положения, и формами оценочных листов по каждой номинации в соотве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тствии с Приложением 2 к Положению.</w:t>
      </w:r>
    </w:p>
    <w:p w:rsidR="00B04C0B" w:rsidRDefault="001A2E60">
      <w:pPr>
        <w:pStyle w:val="af1"/>
        <w:ind w:firstLine="737"/>
        <w:jc w:val="both"/>
      </w:pPr>
      <w:r>
        <w:rPr>
          <w:rFonts w:ascii="Times New Roman" w:hAnsi="Times New Roman"/>
          <w:sz w:val="28"/>
          <w:szCs w:val="28"/>
        </w:rPr>
        <w:t>6.6. Заседание экспертного совета считается правомочным, если на нем присутствует половина состава экспертного совета.</w:t>
      </w:r>
    </w:p>
    <w:p w:rsidR="00B04C0B" w:rsidRDefault="001A2E60">
      <w:pPr>
        <w:pStyle w:val="af1"/>
        <w:ind w:firstLine="73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6.7. Присутствующие члены экспертного совета, в день проведения заседания, предусмотренный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этапом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Конкурса, установленный пунктом 4.1. Положения, на основании публичных презентаций участников конкурсных работ, передают Секретарю заполненные оценочные листы по каждой номинации.</w:t>
      </w:r>
    </w:p>
    <w:p w:rsidR="00B04C0B" w:rsidRDefault="001A2E60">
      <w:pPr>
        <w:pStyle w:val="af1"/>
        <w:ind w:firstLine="73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6.8. На основании заполненных оценочных листов Секретарь в день заседания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экспертного совета готовит протокол, который подписывает председатель и Секретарь экспертного совета.</w:t>
      </w:r>
    </w:p>
    <w:p w:rsidR="00B04C0B" w:rsidRDefault="001A2E60">
      <w:pPr>
        <w:pStyle w:val="af1"/>
        <w:ind w:firstLine="737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6.9. На основании протокола заседания экспертного совета, указанного в пункте 6.8. определяются лауреаты Конкурса.</w:t>
      </w:r>
    </w:p>
    <w:p w:rsidR="00B04C0B" w:rsidRDefault="00B04C0B">
      <w:pPr>
        <w:pStyle w:val="af1"/>
        <w:ind w:firstLine="73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04C0B" w:rsidRDefault="00B04C0B">
      <w:pPr>
        <w:pStyle w:val="af1"/>
        <w:ind w:firstLine="73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4395"/>
        </w:tabs>
        <w:spacing w:after="0" w:line="240" w:lineRule="auto"/>
        <w:ind w:firstLine="737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Соблюдение авторских прав</w:t>
      </w:r>
    </w:p>
    <w:p w:rsidR="00B04C0B" w:rsidRDefault="00B04C0B">
      <w:pPr>
        <w:tabs>
          <w:tab w:val="left" w:pos="4395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Уч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астие в Конкурсе подразумевает полное ознакомление и согласие участников Конкурса с данным Положением.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Направляя Заявку, участник: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7.2.1. подтверждает, что все авторские права на видео и фото материалы использованные в презентации, принадлежат исключи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тельно ему, и использование этих материалов Департаментом, не нарушает имущественных и/или неимущественных прав третьих лиц;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7.2.2. дает согласие на некоммерческое использование материалов, представленных на Конкурс, Департаментом, а именно размещение на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айтах по выбору Департамента, публикации в печатных тематических изданиях, с целью продвижения внутреннего и въездного туризма в автономном округе; 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7.2.3. обязуется содействовать в разрешении претензий третьих лиц в случае предъявления таких претензий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Департаменту, в связи с опубликованием, представленных на Конкурс материалов и в полном объеме возместить все убытки в случае выявления факта нарушения авторских прав;</w:t>
      </w:r>
    </w:p>
    <w:p w:rsidR="00B04C0B" w:rsidRDefault="001A2E60">
      <w:pPr>
        <w:tabs>
          <w:tab w:val="left" w:pos="709"/>
        </w:tabs>
        <w:spacing w:after="0" w:line="240" w:lineRule="auto"/>
        <w:ind w:firstLine="737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7.2.4. обязуется выступить в суде в качестве третьего лица, на стороне ответчика в случа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предъявления к Департаменту третьими лицами иска, связанного с использованием опубликованных материалов, представленных на Конкурс.</w:t>
      </w:r>
    </w:p>
    <w:p w:rsidR="00B04C0B" w:rsidRDefault="00B04C0B">
      <w:pPr>
        <w:tabs>
          <w:tab w:val="left" w:pos="4395"/>
        </w:tabs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C0B" w:rsidRDefault="00B04C0B">
      <w:pPr>
        <w:spacing w:after="0" w:line="240" w:lineRule="auto"/>
        <w:ind w:firstLine="737"/>
        <w:jc w:val="right"/>
      </w:pPr>
    </w:p>
    <w:sectPr w:rsidR="00B04C0B">
      <w:headerReference w:type="default" r:id="rId8"/>
      <w:pgSz w:w="11906" w:h="16838"/>
      <w:pgMar w:top="1601" w:right="1047" w:bottom="923" w:left="1320" w:header="1065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60" w:rsidRDefault="001A2E60">
      <w:pPr>
        <w:spacing w:after="0" w:line="240" w:lineRule="auto"/>
      </w:pPr>
      <w:r>
        <w:separator/>
      </w:r>
    </w:p>
  </w:endnote>
  <w:endnote w:type="continuationSeparator" w:id="0">
    <w:p w:rsidR="001A2E60" w:rsidRDefault="001A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60" w:rsidRDefault="001A2E60">
      <w:pPr>
        <w:spacing w:after="0" w:line="240" w:lineRule="auto"/>
      </w:pPr>
      <w:r>
        <w:separator/>
      </w:r>
    </w:p>
  </w:footnote>
  <w:footnote w:type="continuationSeparator" w:id="0">
    <w:p w:rsidR="001A2E60" w:rsidRDefault="001A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C0B" w:rsidRDefault="001A2E60">
    <w:pPr>
      <w:pStyle w:val="ad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C4B98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0B"/>
    <w:rsid w:val="001A2E60"/>
    <w:rsid w:val="001C4B98"/>
    <w:rsid w:val="00B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7FF51-04DB-478D-98DF-C6C309BB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42BC9"/>
  </w:style>
  <w:style w:type="character" w:customStyle="1" w:styleId="a4">
    <w:name w:val="Текст выноски Знак"/>
    <w:basedOn w:val="a0"/>
    <w:uiPriority w:val="99"/>
    <w:semiHidden/>
    <w:qFormat/>
    <w:rsid w:val="0028581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uiPriority w:val="99"/>
    <w:qFormat/>
    <w:rsid w:val="006B2859"/>
  </w:style>
  <w:style w:type="character" w:customStyle="1" w:styleId="1">
    <w:name w:val="Заголовок1 Знак"/>
    <w:basedOn w:val="a0"/>
    <w:link w:val="1"/>
    <w:qFormat/>
    <w:rsid w:val="000A2B35"/>
    <w:rPr>
      <w:rFonts w:ascii="Verdana" w:eastAsiaTheme="minorEastAsia" w:hAnsi="Verdana"/>
      <w:b/>
      <w:sz w:val="28"/>
      <w:szCs w:val="28"/>
      <w:lang w:eastAsia="ru-RU"/>
    </w:rPr>
  </w:style>
  <w:style w:type="character" w:styleId="a6">
    <w:name w:val="Strong"/>
    <w:basedOn w:val="a0"/>
    <w:qFormat/>
    <w:rsid w:val="00C26432"/>
    <w:rPr>
      <w:b/>
      <w:bCs/>
    </w:rPr>
  </w:style>
  <w:style w:type="character" w:customStyle="1" w:styleId="apple-converted-space">
    <w:name w:val="apple-converted-space"/>
    <w:basedOn w:val="a0"/>
    <w:qFormat/>
    <w:rsid w:val="00C26432"/>
  </w:style>
  <w:style w:type="character" w:customStyle="1" w:styleId="-">
    <w:name w:val="Интернет-ссылка"/>
    <w:basedOn w:val="a0"/>
    <w:uiPriority w:val="99"/>
    <w:unhideWhenUsed/>
    <w:rsid w:val="00E825BB"/>
    <w:rPr>
      <w:color w:val="0000FF" w:themeColor="hyperlink"/>
      <w:u w:val="single"/>
    </w:rPr>
  </w:style>
  <w:style w:type="character" w:customStyle="1" w:styleId="a7">
    <w:name w:val="Без интервала Знак"/>
    <w:uiPriority w:val="1"/>
    <w:qFormat/>
    <w:locked/>
    <w:rsid w:val="00D6293B"/>
    <w:rPr>
      <w:rFonts w:ascii="Calibri" w:eastAsia="Calibri" w:hAnsi="Calibri" w:cs="Times New Roman"/>
    </w:rPr>
  </w:style>
  <w:style w:type="character" w:customStyle="1" w:styleId="apple-tab-span">
    <w:name w:val="apple-tab-span"/>
    <w:basedOn w:val="a0"/>
    <w:qFormat/>
    <w:rsid w:val="006F274D"/>
  </w:style>
  <w:style w:type="character" w:customStyle="1" w:styleId="ListLabel1">
    <w:name w:val="ListLabel 1"/>
    <w:qFormat/>
    <w:rPr>
      <w:rFonts w:ascii="Times New Roman" w:eastAsiaTheme="minorHAnsi" w:hAnsi="Times New Roman" w:cs="Times New Roman"/>
      <w:color w:val="000000"/>
      <w:sz w:val="28"/>
      <w:szCs w:val="28"/>
      <w:highlight w:val="yellow"/>
      <w:u w:val="none"/>
      <w:lang w:eastAsia="ru-RU"/>
    </w:rPr>
  </w:style>
  <w:style w:type="character" w:customStyle="1" w:styleId="ListLabel2">
    <w:name w:val="ListLabel 2"/>
    <w:qFormat/>
    <w:rPr>
      <w:rFonts w:ascii="Times New Roman" w:eastAsiaTheme="minorHAnsi" w:hAnsi="Times New Roman" w:cs="Times New Roman"/>
      <w:color w:val="000000"/>
      <w:sz w:val="28"/>
      <w:szCs w:val="28"/>
      <w:u w:val="none"/>
      <w:lang w:eastAsia="ru-RU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  <w:szCs w:val="28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Pr>
      <w:rFonts w:ascii="Times New Roman" w:hAnsi="Times New Roman" w:cs="Times New Roman"/>
      <w:sz w:val="28"/>
      <w:szCs w:val="28"/>
    </w:rPr>
  </w:style>
  <w:style w:type="character" w:customStyle="1" w:styleId="ListLabel7">
    <w:name w:val="ListLabel 7"/>
    <w:qFormat/>
    <w:rPr>
      <w:rFonts w:ascii="Times New Roman" w:hAnsi="Times New Roman" w:cs="Times New Roman"/>
      <w:sz w:val="28"/>
      <w:szCs w:val="28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header"/>
    <w:basedOn w:val="a"/>
    <w:uiPriority w:val="99"/>
    <w:unhideWhenUsed/>
    <w:rsid w:val="00E42BC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rsid w:val="00E42BC9"/>
    <w:rPr>
      <w:rFonts w:ascii="Times New Roman" w:hAnsi="Times New Roman" w:cs="Times New Roman"/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1C51B7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2858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footer"/>
    <w:basedOn w:val="a"/>
    <w:uiPriority w:val="99"/>
    <w:unhideWhenUsed/>
    <w:rsid w:val="006B285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0A2B3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Заголовок1"/>
    <w:basedOn w:val="a"/>
    <w:qFormat/>
    <w:rsid w:val="000A2B35"/>
    <w:pPr>
      <w:spacing w:after="0"/>
    </w:pPr>
    <w:rPr>
      <w:rFonts w:ascii="Verdana" w:eastAsiaTheme="minorEastAsia" w:hAnsi="Verdana"/>
      <w:b/>
      <w:sz w:val="28"/>
      <w:szCs w:val="28"/>
      <w:lang w:eastAsia="ru-RU"/>
    </w:rPr>
  </w:style>
  <w:style w:type="paragraph" w:styleId="af1">
    <w:name w:val="No Spacing"/>
    <w:uiPriority w:val="1"/>
    <w:qFormat/>
    <w:rsid w:val="00EA2148"/>
    <w:rPr>
      <w:rFonts w:cs="Times New Roman"/>
      <w:sz w:val="22"/>
    </w:rPr>
  </w:style>
  <w:style w:type="paragraph" w:customStyle="1" w:styleId="Af2">
    <w:name w:val="Свободная форма A"/>
    <w:qFormat/>
    <w:rsid w:val="00894179"/>
    <w:rPr>
      <w:rFonts w:ascii="Times New Roman" w:eastAsia="ヒラギノ角ゴ Pro W3" w:hAnsi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qFormat/>
    <w:rsid w:val="00D6293B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f3">
    <w:name w:val="Normal (Web)"/>
    <w:basedOn w:val="a"/>
    <w:uiPriority w:val="99"/>
    <w:qFormat/>
    <w:rsid w:val="00D62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851C1B"/>
    <w:rPr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pprom@admhma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918AA-7F60-4075-ABF5-E617FE6E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Стоян Любовь Никандровна</dc:creator>
  <dc:description/>
  <cp:lastModifiedBy>Иванова Юлия Владимировна</cp:lastModifiedBy>
  <cp:revision>2</cp:revision>
  <cp:lastPrinted>2019-09-26T16:24:00Z</cp:lastPrinted>
  <dcterms:created xsi:type="dcterms:W3CDTF">2019-10-08T10:07:00Z</dcterms:created>
  <dcterms:modified xsi:type="dcterms:W3CDTF">2019-10-08T10:07:00Z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