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57" w:rsidRPr="0094292D" w:rsidRDefault="001E4457" w:rsidP="001E4457">
      <w:pPr>
        <w:ind w:left="0" w:firstLine="567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E4457" w:rsidRPr="007C47DE" w:rsidRDefault="001E4457" w:rsidP="001E4457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C47DE">
        <w:rPr>
          <w:rFonts w:ascii="Times New Roman" w:hAnsi="Times New Roman"/>
          <w:b/>
          <w:sz w:val="24"/>
          <w:szCs w:val="24"/>
        </w:rPr>
        <w:t xml:space="preserve">Сообщение </w:t>
      </w:r>
    </w:p>
    <w:p w:rsidR="001E4457" w:rsidRDefault="001E4457" w:rsidP="001E4457">
      <w:pPr>
        <w:ind w:left="0" w:firstLine="56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4292D">
        <w:rPr>
          <w:rFonts w:ascii="Times New Roman" w:hAnsi="Times New Roman"/>
          <w:sz w:val="24"/>
          <w:szCs w:val="24"/>
        </w:rPr>
        <w:t>о</w:t>
      </w:r>
      <w:proofErr w:type="gramEnd"/>
      <w:r w:rsidRPr="0094292D">
        <w:rPr>
          <w:rFonts w:ascii="Times New Roman" w:hAnsi="Times New Roman"/>
          <w:sz w:val="24"/>
          <w:szCs w:val="24"/>
        </w:rPr>
        <w:t xml:space="preserve"> проведении отрытого конкурса о </w:t>
      </w:r>
      <w:r w:rsidRPr="00E46342">
        <w:rPr>
          <w:rFonts w:ascii="Times New Roman" w:hAnsi="Times New Roman"/>
          <w:sz w:val="24"/>
          <w:szCs w:val="24"/>
        </w:rPr>
        <w:t xml:space="preserve">создании и эксплуатации </w:t>
      </w:r>
    </w:p>
    <w:p w:rsidR="001E4457" w:rsidRDefault="001E4457" w:rsidP="001E4457">
      <w:pPr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E46342">
        <w:rPr>
          <w:rFonts w:ascii="Times New Roman" w:hAnsi="Times New Roman"/>
          <w:sz w:val="24"/>
          <w:szCs w:val="24"/>
        </w:rPr>
        <w:t xml:space="preserve">Белоярского </w:t>
      </w:r>
      <w:proofErr w:type="spellStart"/>
      <w:r w:rsidRPr="00E46342">
        <w:rPr>
          <w:rFonts w:ascii="Times New Roman" w:hAnsi="Times New Roman"/>
          <w:sz w:val="24"/>
          <w:szCs w:val="24"/>
        </w:rPr>
        <w:t>межпоселенческого</w:t>
      </w:r>
      <w:proofErr w:type="spellEnd"/>
      <w:r w:rsidRPr="00E46342">
        <w:rPr>
          <w:rFonts w:ascii="Times New Roman" w:hAnsi="Times New Roman"/>
          <w:sz w:val="24"/>
          <w:szCs w:val="24"/>
        </w:rPr>
        <w:t xml:space="preserve"> полигона</w:t>
      </w:r>
    </w:p>
    <w:p w:rsidR="001E4457" w:rsidRPr="0094292D" w:rsidRDefault="001E4457" w:rsidP="001E4457">
      <w:pPr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E4457" w:rsidRPr="0094292D" w:rsidRDefault="001E4457" w:rsidP="001E4457">
      <w:p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4292D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постановлением администрации Белоярского </w:t>
      </w:r>
      <w:r w:rsidRPr="000E52D9">
        <w:rPr>
          <w:rFonts w:ascii="Times New Roman" w:hAnsi="Times New Roman"/>
          <w:sz w:val="24"/>
          <w:szCs w:val="24"/>
        </w:rPr>
        <w:t xml:space="preserve">района </w:t>
      </w:r>
      <w:r w:rsidRPr="000E52D9">
        <w:rPr>
          <w:rFonts w:ascii="Times New Roman" w:hAnsi="Times New Roman"/>
          <w:sz w:val="24"/>
          <w:szCs w:val="24"/>
          <w:shd w:val="clear" w:color="auto" w:fill="FFFFFF"/>
        </w:rPr>
        <w:t>от 25 февраля 2022 года № 148 «О заключении концессионного соглашения о созда</w:t>
      </w:r>
      <w:r w:rsidRPr="008D40BD">
        <w:rPr>
          <w:rFonts w:ascii="Times New Roman" w:hAnsi="Times New Roman"/>
          <w:sz w:val="24"/>
          <w:szCs w:val="24"/>
          <w:shd w:val="clear" w:color="auto" w:fill="FFFFFF"/>
        </w:rPr>
        <w:t xml:space="preserve">нии и эксплуатации Белоярского </w:t>
      </w:r>
      <w:proofErr w:type="spellStart"/>
      <w:r w:rsidRPr="008D40BD">
        <w:rPr>
          <w:rFonts w:ascii="Times New Roman" w:hAnsi="Times New Roman"/>
          <w:sz w:val="24"/>
          <w:szCs w:val="24"/>
          <w:shd w:val="clear" w:color="auto" w:fill="FFFFFF"/>
        </w:rPr>
        <w:t>межпоселенческого</w:t>
      </w:r>
      <w:proofErr w:type="spellEnd"/>
      <w:r w:rsidRPr="008D40BD">
        <w:rPr>
          <w:rFonts w:ascii="Times New Roman" w:hAnsi="Times New Roman"/>
          <w:sz w:val="24"/>
          <w:szCs w:val="24"/>
          <w:shd w:val="clear" w:color="auto" w:fill="FFFFFF"/>
        </w:rPr>
        <w:t xml:space="preserve"> полигона</w:t>
      </w:r>
      <w:r w:rsidRPr="0094292D">
        <w:rPr>
          <w:rFonts w:ascii="Times New Roman" w:hAnsi="Times New Roman"/>
          <w:sz w:val="24"/>
          <w:szCs w:val="24"/>
          <w:shd w:val="clear" w:color="auto" w:fill="FFFFFF"/>
        </w:rPr>
        <w:t xml:space="preserve">» (далее – </w:t>
      </w:r>
      <w:r w:rsidRPr="0094292D">
        <w:rPr>
          <w:rFonts w:ascii="Times New Roman" w:hAnsi="Times New Roman"/>
          <w:sz w:val="24"/>
          <w:szCs w:val="24"/>
        </w:rPr>
        <w:t>Решение о заключении концессионного соглашения), К</w:t>
      </w:r>
      <w:r w:rsidRPr="0094292D">
        <w:rPr>
          <w:rFonts w:ascii="Times New Roman" w:hAnsi="Times New Roman"/>
          <w:sz w:val="24"/>
          <w:szCs w:val="24"/>
          <w:shd w:val="clear" w:color="auto" w:fill="FFFFFF"/>
        </w:rPr>
        <w:t xml:space="preserve">онкурсная комиссия по проведению конкурса сообщает о проведении открытого конкурса на право заключения концессионного соглашения </w:t>
      </w:r>
      <w:r w:rsidRPr="00E46342">
        <w:rPr>
          <w:rFonts w:ascii="Times New Roman" w:hAnsi="Times New Roman"/>
          <w:sz w:val="24"/>
          <w:szCs w:val="24"/>
          <w:shd w:val="clear" w:color="auto" w:fill="FFFFFF"/>
        </w:rPr>
        <w:t xml:space="preserve">о создании и эксплуатации Белоярского </w:t>
      </w:r>
      <w:proofErr w:type="spellStart"/>
      <w:r w:rsidRPr="00E46342">
        <w:rPr>
          <w:rFonts w:ascii="Times New Roman" w:hAnsi="Times New Roman"/>
          <w:sz w:val="24"/>
          <w:szCs w:val="24"/>
          <w:shd w:val="clear" w:color="auto" w:fill="FFFFFF"/>
        </w:rPr>
        <w:t>межпоселенческого</w:t>
      </w:r>
      <w:proofErr w:type="spellEnd"/>
      <w:r w:rsidRPr="00E46342">
        <w:rPr>
          <w:rFonts w:ascii="Times New Roman" w:hAnsi="Times New Roman"/>
          <w:sz w:val="24"/>
          <w:szCs w:val="24"/>
          <w:shd w:val="clear" w:color="auto" w:fill="FFFFFF"/>
        </w:rPr>
        <w:t xml:space="preserve"> полигона</w:t>
      </w:r>
      <w:r w:rsidRPr="009429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4292D">
        <w:rPr>
          <w:rFonts w:ascii="Times New Roman" w:hAnsi="Times New Roman"/>
          <w:sz w:val="24"/>
          <w:szCs w:val="24"/>
        </w:rPr>
        <w:t>(далее – Конкурсная комиссия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1E4457" w:rsidRPr="000E52D9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292D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94292D">
        <w:rPr>
          <w:rFonts w:ascii="Times New Roman" w:hAnsi="Times New Roman"/>
          <w:sz w:val="24"/>
          <w:szCs w:val="24"/>
        </w:rPr>
        <w:t xml:space="preserve"> по Концессионному соглашению является </w:t>
      </w:r>
      <w:r w:rsidRPr="008E1AA1">
        <w:rPr>
          <w:rFonts w:ascii="Times New Roman" w:hAnsi="Times New Roman"/>
          <w:sz w:val="24"/>
          <w:szCs w:val="24"/>
        </w:rPr>
        <w:t>муниципальное образование Белоярский район, от имени которого выступает администрация Белоярского района</w:t>
      </w:r>
      <w:r w:rsidRPr="0094292D">
        <w:rPr>
          <w:rFonts w:ascii="Times New Roman" w:hAnsi="Times New Roman"/>
          <w:sz w:val="24"/>
          <w:szCs w:val="24"/>
        </w:rPr>
        <w:t xml:space="preserve">. Полномочия </w:t>
      </w:r>
      <w:proofErr w:type="spellStart"/>
      <w:r w:rsidRPr="0094292D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94292D">
        <w:rPr>
          <w:rFonts w:ascii="Times New Roman" w:hAnsi="Times New Roman"/>
          <w:sz w:val="24"/>
          <w:szCs w:val="24"/>
        </w:rPr>
        <w:t xml:space="preserve"> по заключению, изменению и прекращению Концессионного соглашения от имени </w:t>
      </w:r>
      <w:proofErr w:type="spellStart"/>
      <w:r w:rsidRPr="0094292D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94292D">
        <w:rPr>
          <w:rFonts w:ascii="Times New Roman" w:hAnsi="Times New Roman"/>
          <w:sz w:val="24"/>
          <w:szCs w:val="24"/>
        </w:rPr>
        <w:t xml:space="preserve"> в соответствии с Решением о заключении концессионного соглашения осуществляет </w:t>
      </w:r>
      <w:r w:rsidRPr="001E29FD">
        <w:rPr>
          <w:rFonts w:ascii="Times New Roman" w:hAnsi="Times New Roman"/>
          <w:sz w:val="24"/>
          <w:szCs w:val="24"/>
        </w:rPr>
        <w:t>администрация Белоярского района</w:t>
      </w:r>
      <w:r w:rsidRPr="0094292D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ая</w:t>
      </w:r>
      <w:r w:rsidRPr="0094292D">
        <w:rPr>
          <w:rFonts w:ascii="Times New Roman" w:hAnsi="Times New Roman"/>
          <w:sz w:val="24"/>
          <w:szCs w:val="24"/>
        </w:rPr>
        <w:t xml:space="preserve"> по адресу: </w:t>
      </w:r>
      <w:r w:rsidRPr="000E52D9">
        <w:rPr>
          <w:rFonts w:ascii="Times New Roman" w:hAnsi="Times New Roman"/>
          <w:sz w:val="24"/>
          <w:szCs w:val="24"/>
        </w:rPr>
        <w:t>628161, Ханты-Мансийский автономный округ – Югра, г. Белоярский, ул. Центральная, д.</w:t>
      </w:r>
      <w:proofErr w:type="gramStart"/>
      <w:r w:rsidRPr="000E52D9">
        <w:rPr>
          <w:rFonts w:ascii="Times New Roman" w:hAnsi="Times New Roman"/>
          <w:sz w:val="24"/>
          <w:szCs w:val="24"/>
        </w:rPr>
        <w:t>9,  тел.</w:t>
      </w:r>
      <w:proofErr w:type="gramEnd"/>
      <w:r w:rsidRPr="000E52D9">
        <w:rPr>
          <w:rFonts w:ascii="Times New Roman" w:hAnsi="Times New Roman"/>
          <w:sz w:val="24"/>
          <w:szCs w:val="24"/>
        </w:rPr>
        <w:t xml:space="preserve">: (34670) 2-14-90,  </w:t>
      </w:r>
      <w:r w:rsidRPr="000E52D9">
        <w:rPr>
          <w:rFonts w:ascii="Times New Roman" w:hAnsi="Times New Roman"/>
          <w:sz w:val="24"/>
          <w:szCs w:val="24"/>
          <w:lang w:val="en-US"/>
        </w:rPr>
        <w:t>e</w:t>
      </w:r>
      <w:r w:rsidRPr="000E52D9">
        <w:rPr>
          <w:rFonts w:ascii="Times New Roman" w:hAnsi="Times New Roman"/>
          <w:sz w:val="24"/>
          <w:szCs w:val="24"/>
        </w:rPr>
        <w:t>-</w:t>
      </w:r>
      <w:proofErr w:type="spellStart"/>
      <w:r w:rsidRPr="000E52D9">
        <w:rPr>
          <w:rFonts w:ascii="Times New Roman" w:hAnsi="Times New Roman"/>
          <w:sz w:val="24"/>
          <w:szCs w:val="24"/>
        </w:rPr>
        <w:t>mail</w:t>
      </w:r>
      <w:proofErr w:type="spellEnd"/>
      <w:r w:rsidRPr="000E52D9">
        <w:rPr>
          <w:rFonts w:ascii="Times New Roman" w:hAnsi="Times New Roman"/>
          <w:sz w:val="24"/>
          <w:szCs w:val="24"/>
        </w:rPr>
        <w:t>: admbel@admbel.ru.</w:t>
      </w:r>
    </w:p>
    <w:p w:rsidR="001E4457" w:rsidRPr="0094292D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52D9">
        <w:rPr>
          <w:rFonts w:ascii="Times New Roman" w:hAnsi="Times New Roman"/>
          <w:sz w:val="24"/>
          <w:szCs w:val="24"/>
        </w:rPr>
        <w:t>По всем вопросам, связанным с проведением Конкурса, следует обращаться в Конкурсную комиссию по месту нахождения:</w:t>
      </w:r>
      <w:r w:rsidR="00BD4837">
        <w:rPr>
          <w:rFonts w:ascii="Times New Roman" w:hAnsi="Times New Roman"/>
          <w:sz w:val="24"/>
          <w:szCs w:val="24"/>
        </w:rPr>
        <w:t xml:space="preserve"> </w:t>
      </w:r>
      <w:r w:rsidRPr="000E52D9">
        <w:rPr>
          <w:rFonts w:ascii="Times New Roman" w:hAnsi="Times New Roman"/>
          <w:sz w:val="24"/>
          <w:szCs w:val="24"/>
        </w:rPr>
        <w:t>628161, Ханты-Мансийский автономный округ – Югра, г. Белоярский, ул. Центральная, д.11</w:t>
      </w:r>
      <w:r w:rsidR="00BD4837">
        <w:rPr>
          <w:rFonts w:ascii="Times New Roman" w:hAnsi="Times New Roman"/>
          <w:sz w:val="24"/>
          <w:szCs w:val="24"/>
        </w:rPr>
        <w:t>,</w:t>
      </w:r>
      <w:r w:rsidRPr="000E52D9">
        <w:rPr>
          <w:rFonts w:ascii="Times New Roman" w:hAnsi="Times New Roman"/>
          <w:sz w:val="24"/>
          <w:szCs w:val="24"/>
        </w:rPr>
        <w:t xml:space="preserve"> адрес электронной почты:</w:t>
      </w:r>
      <w:r w:rsidRPr="000E52D9">
        <w:t xml:space="preserve"> </w:t>
      </w:r>
      <w:r w:rsidRPr="000E52D9">
        <w:rPr>
          <w:rFonts w:ascii="Times New Roman" w:hAnsi="Times New Roman"/>
          <w:sz w:val="24"/>
          <w:szCs w:val="24"/>
          <w:lang w:val="en-US"/>
        </w:rPr>
        <w:t>e</w:t>
      </w:r>
      <w:r w:rsidRPr="000E52D9">
        <w:rPr>
          <w:rFonts w:ascii="Times New Roman" w:hAnsi="Times New Roman"/>
          <w:sz w:val="24"/>
          <w:szCs w:val="24"/>
        </w:rPr>
        <w:t>-</w:t>
      </w:r>
      <w:proofErr w:type="spellStart"/>
      <w:r w:rsidRPr="000E52D9">
        <w:rPr>
          <w:rFonts w:ascii="Times New Roman" w:hAnsi="Times New Roman"/>
          <w:sz w:val="24"/>
          <w:szCs w:val="24"/>
        </w:rPr>
        <w:t>mail</w:t>
      </w:r>
      <w:proofErr w:type="spellEnd"/>
      <w:r w:rsidRPr="000E52D9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6E7707">
          <w:rPr>
            <w:rStyle w:val="a3"/>
            <w:rFonts w:ascii="Times New Roman" w:hAnsi="Times New Roman"/>
            <w:sz w:val="24"/>
            <w:szCs w:val="24"/>
          </w:rPr>
          <w:t>admbel@admbel.ru</w:t>
        </w:r>
      </w:hyperlink>
      <w:r w:rsidRPr="000E52D9">
        <w:rPr>
          <w:rFonts w:ascii="Times New Roman" w:hAnsi="Times New Roman"/>
          <w:sz w:val="24"/>
          <w:szCs w:val="24"/>
        </w:rPr>
        <w:t xml:space="preserve"> Контактное лицо: Трофимов Андрей Владимирович, контактный телефон (34670) 2-18-56. (далее – Организатор Конкурса</w:t>
      </w:r>
      <w:r w:rsidRPr="0086678E">
        <w:rPr>
          <w:rFonts w:ascii="Times New Roman" w:hAnsi="Times New Roman"/>
          <w:sz w:val="24"/>
          <w:szCs w:val="24"/>
        </w:rPr>
        <w:t>).</w:t>
      </w:r>
    </w:p>
    <w:p w:rsidR="001E4457" w:rsidRPr="0094292D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292D">
        <w:rPr>
          <w:rFonts w:ascii="Times New Roman" w:hAnsi="Times New Roman"/>
          <w:sz w:val="24"/>
          <w:szCs w:val="24"/>
        </w:rPr>
        <w:t>Для получения конкурсной документации по Конкурсу (далее – Конкурсная документация) заинтересованному лицу необходимо направить в адрес Конкурсной комиссии</w:t>
      </w:r>
      <w:r w:rsidRPr="000E52D9">
        <w:t xml:space="preserve"> </w:t>
      </w:r>
      <w:r w:rsidRPr="000E52D9">
        <w:rPr>
          <w:rFonts w:ascii="Times New Roman" w:hAnsi="Times New Roman"/>
          <w:sz w:val="24"/>
          <w:szCs w:val="24"/>
        </w:rPr>
        <w:t xml:space="preserve">письменное заявление </w:t>
      </w:r>
      <w:r w:rsidRPr="0094292D">
        <w:rPr>
          <w:rFonts w:ascii="Times New Roman" w:hAnsi="Times New Roman"/>
          <w:sz w:val="24"/>
          <w:szCs w:val="24"/>
        </w:rPr>
        <w:t>о предоставлении Конкурсной документации с указанием своего официального представителя и способа получения Конкурсной документации: по электронной почте или по почте, или путем вручения лично</w:t>
      </w:r>
      <w:r>
        <w:rPr>
          <w:rFonts w:ascii="Times New Roman" w:hAnsi="Times New Roman"/>
          <w:sz w:val="24"/>
          <w:szCs w:val="24"/>
        </w:rPr>
        <w:t xml:space="preserve"> по адресу</w:t>
      </w:r>
      <w:r w:rsidRPr="000E52D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2D9">
        <w:rPr>
          <w:rFonts w:ascii="Times New Roman" w:hAnsi="Times New Roman"/>
          <w:sz w:val="24"/>
          <w:szCs w:val="24"/>
        </w:rPr>
        <w:t>628161, Ханты-Мансийский автономный округ – Югра, г. Белоярский, ул. Центральная, д.11, адрес электронной почты: e-</w:t>
      </w:r>
      <w:proofErr w:type="spellStart"/>
      <w:r w:rsidRPr="000E52D9">
        <w:rPr>
          <w:rFonts w:ascii="Times New Roman" w:hAnsi="Times New Roman"/>
          <w:sz w:val="24"/>
          <w:szCs w:val="24"/>
        </w:rPr>
        <w:t>mail</w:t>
      </w:r>
      <w:proofErr w:type="spellEnd"/>
      <w:r w:rsidRPr="000E52D9">
        <w:rPr>
          <w:rFonts w:ascii="Times New Roman" w:hAnsi="Times New Roman"/>
          <w:sz w:val="24"/>
          <w:szCs w:val="24"/>
        </w:rPr>
        <w:t>: admbel@admbel.ru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292D">
        <w:rPr>
          <w:rFonts w:ascii="Times New Roman" w:hAnsi="Times New Roman"/>
          <w:sz w:val="24"/>
          <w:szCs w:val="24"/>
        </w:rPr>
        <w:t>.</w:t>
      </w:r>
    </w:p>
    <w:p w:rsidR="001E4457" w:rsidRPr="0094292D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292D">
        <w:rPr>
          <w:rFonts w:ascii="Times New Roman" w:hAnsi="Times New Roman"/>
          <w:sz w:val="24"/>
          <w:szCs w:val="24"/>
        </w:rPr>
        <w:t>В течение 3 (трех) рабочих дней со дня получения Конкурсной комиссией заявления о предоставлении Конкурсной документации обратившемуся лицу бесплатно передается Конкурсная документация, включающая 3 (три) части: «Общие положения», «Предварительный отбор», «Конкурс».</w:t>
      </w:r>
    </w:p>
    <w:p w:rsidR="001E4457" w:rsidRPr="0094292D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292D">
        <w:rPr>
          <w:rFonts w:ascii="Times New Roman" w:hAnsi="Times New Roman"/>
          <w:sz w:val="24"/>
          <w:szCs w:val="24"/>
        </w:rPr>
        <w:t xml:space="preserve">Конкурсная документация также размещается на официальном сайте Российской Федерации: </w:t>
      </w:r>
      <w:hyperlink r:id="rId5" w:history="1">
        <w:r w:rsidRPr="005F72CA">
          <w:rPr>
            <w:rStyle w:val="a3"/>
            <w:rFonts w:ascii="Times New Roman" w:hAnsi="Times New Roman"/>
            <w:sz w:val="24"/>
            <w:szCs w:val="24"/>
          </w:rPr>
          <w:t>www.torgi.gov.ru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4292D">
        <w:rPr>
          <w:rFonts w:ascii="Times New Roman" w:hAnsi="Times New Roman"/>
          <w:sz w:val="24"/>
          <w:szCs w:val="24"/>
        </w:rPr>
        <w:t xml:space="preserve">и официальном сайте </w:t>
      </w:r>
      <w:proofErr w:type="spellStart"/>
      <w:r w:rsidRPr="0094292D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94292D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5F72CA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F72CA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F72CA">
          <w:rPr>
            <w:rStyle w:val="a3"/>
            <w:rFonts w:ascii="Times New Roman" w:hAnsi="Times New Roman"/>
            <w:sz w:val="24"/>
            <w:szCs w:val="24"/>
            <w:lang w:val="en-US"/>
          </w:rPr>
          <w:t>admbel</w:t>
        </w:r>
        <w:proofErr w:type="spellEnd"/>
        <w:r w:rsidRPr="005F72CA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F72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047646">
        <w:rPr>
          <w:rFonts w:ascii="Times New Roman" w:hAnsi="Times New Roman"/>
          <w:sz w:val="24"/>
          <w:szCs w:val="24"/>
        </w:rPr>
        <w:t xml:space="preserve"> </w:t>
      </w:r>
      <w:r w:rsidRPr="0094292D">
        <w:rPr>
          <w:rFonts w:ascii="Times New Roman" w:hAnsi="Times New Roman"/>
          <w:sz w:val="24"/>
          <w:szCs w:val="24"/>
        </w:rPr>
        <w:t xml:space="preserve"> Заинтересованные лица, заявители, участники Конкурса, получившие Конкурсную документацию любым из вышеперечисленных способов, самостоятельно несут ответственность за отслеживание всех вносимых изменений в Конкурсную документацию.</w:t>
      </w:r>
    </w:p>
    <w:p w:rsidR="001E4457" w:rsidRPr="00E80D02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80D02">
        <w:rPr>
          <w:rFonts w:ascii="Times New Roman" w:hAnsi="Times New Roman"/>
          <w:sz w:val="24"/>
          <w:szCs w:val="24"/>
        </w:rPr>
        <w:t xml:space="preserve">Объектом Концессионного соглашения является Белоярский </w:t>
      </w:r>
      <w:proofErr w:type="spellStart"/>
      <w:r w:rsidRPr="00E80D02">
        <w:rPr>
          <w:rFonts w:ascii="Times New Roman" w:hAnsi="Times New Roman"/>
          <w:sz w:val="24"/>
          <w:szCs w:val="24"/>
        </w:rPr>
        <w:t>межпоселенческий</w:t>
      </w:r>
      <w:proofErr w:type="spellEnd"/>
      <w:r w:rsidRPr="00E80D02">
        <w:rPr>
          <w:rFonts w:ascii="Times New Roman" w:hAnsi="Times New Roman"/>
          <w:sz w:val="24"/>
          <w:szCs w:val="24"/>
        </w:rPr>
        <w:t xml:space="preserve"> полигон (далее – Объект Концессионного соглашения). </w:t>
      </w:r>
    </w:p>
    <w:p w:rsidR="001E4457" w:rsidRPr="00E80D02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80D02">
        <w:rPr>
          <w:rFonts w:ascii="Times New Roman" w:hAnsi="Times New Roman"/>
          <w:sz w:val="24"/>
          <w:szCs w:val="24"/>
        </w:rPr>
        <w:t>Срок действия Концессионного соглашения – 25 (двадцать пять) лет с момента заключения Концессионного соглашения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577">
        <w:rPr>
          <w:rFonts w:ascii="Times New Roman" w:hAnsi="Times New Roman"/>
          <w:sz w:val="24"/>
          <w:szCs w:val="24"/>
        </w:rPr>
        <w:t>(с учетом условий Концессионного соглашения о возможностях изменения срока его действия с соблюдением требований законодательства).</w:t>
      </w:r>
    </w:p>
    <w:p w:rsidR="001E4457" w:rsidRPr="00E80D02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80D02">
        <w:rPr>
          <w:rFonts w:ascii="Times New Roman" w:hAnsi="Times New Roman"/>
          <w:sz w:val="24"/>
          <w:szCs w:val="24"/>
        </w:rPr>
        <w:t>Конкурс проводится в 2 (два) этапа: Предварительный отбор и Конкурс.</w:t>
      </w:r>
    </w:p>
    <w:p w:rsidR="001E4457" w:rsidRPr="00E80D02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80D02">
        <w:rPr>
          <w:rFonts w:ascii="Times New Roman" w:hAnsi="Times New Roman"/>
          <w:sz w:val="24"/>
          <w:szCs w:val="24"/>
        </w:rPr>
        <w:t>Заявителем Конкурса может выступать индивидуальный предприниматель, российское или иностранное юридическое лицо либо действующ</w:t>
      </w:r>
      <w:r>
        <w:rPr>
          <w:rFonts w:ascii="Times New Roman" w:hAnsi="Times New Roman"/>
          <w:sz w:val="24"/>
          <w:szCs w:val="24"/>
        </w:rPr>
        <w:t>и</w:t>
      </w:r>
      <w:r w:rsidRPr="00E80D02">
        <w:rPr>
          <w:rFonts w:ascii="Times New Roman" w:hAnsi="Times New Roman"/>
          <w:sz w:val="24"/>
          <w:szCs w:val="24"/>
        </w:rPr>
        <w:t xml:space="preserve">е без образования юридического лица по договору простого товарищества (договору о совместной деятельности) два и более указанных юридических лица.  </w:t>
      </w:r>
    </w:p>
    <w:p w:rsidR="001E4457" w:rsidRPr="00E80D02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80D02">
        <w:rPr>
          <w:rFonts w:ascii="Times New Roman" w:hAnsi="Times New Roman"/>
          <w:sz w:val="24"/>
          <w:szCs w:val="24"/>
        </w:rPr>
        <w:t xml:space="preserve">Заявитель Конкурса должен соответствовать следующим требованиям: </w:t>
      </w:r>
    </w:p>
    <w:p w:rsidR="001E4457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80D02">
        <w:rPr>
          <w:rFonts w:ascii="Times New Roman" w:hAnsi="Times New Roman"/>
          <w:sz w:val="24"/>
          <w:szCs w:val="24"/>
        </w:rPr>
        <w:lastRenderedPageBreak/>
        <w:t xml:space="preserve">1) </w:t>
      </w:r>
      <w:r>
        <w:rPr>
          <w:rFonts w:ascii="Times New Roman" w:hAnsi="Times New Roman"/>
          <w:sz w:val="24"/>
          <w:szCs w:val="24"/>
        </w:rPr>
        <w:t>о</w:t>
      </w:r>
      <w:r w:rsidRPr="00E80D02">
        <w:rPr>
          <w:rFonts w:ascii="Times New Roman" w:hAnsi="Times New Roman"/>
          <w:sz w:val="24"/>
          <w:szCs w:val="24"/>
        </w:rPr>
        <w:t xml:space="preserve">тсутствие обстоятельств, препятствующих осуществлению деятельности заявителя (включая, решение о ликвидации юридического лица – заявителя или о прекращении физическим лицом – заявителем деятельности в качестве индивидуального предпринимателя на дату подачи заявки и (или) рассмотрения заявки; объявление лица банкротом и открытие конкурсного производства либо возбуждение в отношении лица по его собственной инициативе или по инициативе третьего лица производства по делу о банкротстве и введение одной из процедур, применяемых в деле о банкротстве; </w:t>
      </w:r>
    </w:p>
    <w:p w:rsidR="001E4457" w:rsidRPr="005B535A" w:rsidRDefault="001E4457" w:rsidP="001E4457">
      <w:pPr>
        <w:ind w:left="0"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80D02">
        <w:rPr>
          <w:rFonts w:ascii="Times New Roman" w:hAnsi="Times New Roman"/>
          <w:sz w:val="24"/>
          <w:szCs w:val="24"/>
        </w:rPr>
        <w:t>иные ограничения</w:t>
      </w:r>
      <w:r>
        <w:rPr>
          <w:rFonts w:ascii="Times New Roman" w:hAnsi="Times New Roman"/>
          <w:sz w:val="24"/>
          <w:szCs w:val="24"/>
        </w:rPr>
        <w:t xml:space="preserve"> установленные законом</w:t>
      </w:r>
      <w:r w:rsidRPr="00E80D02">
        <w:rPr>
          <w:rFonts w:ascii="Times New Roman" w:hAnsi="Times New Roman"/>
          <w:sz w:val="24"/>
          <w:szCs w:val="24"/>
        </w:rPr>
        <w:t xml:space="preserve">, препятствующие осуществлению деятельности заявителя на дату подачи заявки на участие в Конкурсе и (или) рассмотрения Заявки, предусмотренные Конкурсной документацией, в том числе, </w:t>
      </w:r>
      <w:r w:rsidRPr="00181577">
        <w:rPr>
          <w:rFonts w:ascii="Times New Roman" w:hAnsi="Times New Roman"/>
          <w:sz w:val="24"/>
          <w:szCs w:val="24"/>
        </w:rPr>
        <w:t>отсутствие права участвовать в Конкурсе, заключать</w:t>
      </w:r>
      <w:r w:rsidRPr="00E80D02">
        <w:rPr>
          <w:rFonts w:ascii="Times New Roman" w:hAnsi="Times New Roman"/>
          <w:sz w:val="24"/>
          <w:szCs w:val="24"/>
        </w:rPr>
        <w:t xml:space="preserve"> Концессионное соглашение и (или) исполнять обязательс</w:t>
      </w:r>
      <w:r>
        <w:rPr>
          <w:rFonts w:ascii="Times New Roman" w:hAnsi="Times New Roman"/>
          <w:sz w:val="24"/>
          <w:szCs w:val="24"/>
        </w:rPr>
        <w:t>тва концессионера в силу закона</w:t>
      </w:r>
      <w:r w:rsidRPr="00E80D02">
        <w:rPr>
          <w:rFonts w:ascii="Times New Roman" w:hAnsi="Times New Roman"/>
          <w:sz w:val="24"/>
          <w:szCs w:val="24"/>
        </w:rPr>
        <w:t xml:space="preserve">; внесение сведений о лице в реестр недобросовестных поставщиков, предусмотренный федеральными законами от 5 апреля 2013 года № 44-ФЗ, от 18 июля 2011 года № 223-ФЗ; участие в подготовке Конкурса, Конкурсной документации, в том числе в качестве консультантов </w:t>
      </w:r>
      <w:proofErr w:type="spellStart"/>
      <w:r w:rsidRPr="00E80D02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E80D02">
        <w:rPr>
          <w:rFonts w:ascii="Times New Roman" w:hAnsi="Times New Roman"/>
          <w:sz w:val="24"/>
          <w:szCs w:val="24"/>
        </w:rPr>
        <w:t xml:space="preserve">; участие </w:t>
      </w:r>
      <w:r w:rsidRPr="00E80D02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самостоятельно или через свои аффилированные лица в уставном (складочном) капитале других заявителей </w:t>
      </w:r>
      <w:r w:rsidRPr="005B535A">
        <w:rPr>
          <w:rFonts w:ascii="Times New Roman" w:eastAsia="Times New Roman" w:hAnsi="Times New Roman"/>
          <w:sz w:val="24"/>
          <w:szCs w:val="24"/>
          <w:lang w:eastAsia="ru-RU"/>
        </w:rPr>
        <w:t>или в составе простых товариществ, подавших заявку в Конкурсную комиссию.</w:t>
      </w:r>
      <w:r w:rsidRPr="005B53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E4457" w:rsidRPr="005B535A" w:rsidRDefault="001E4457" w:rsidP="001E4457">
      <w:pPr>
        <w:ind w:left="0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5B535A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о</w:t>
      </w:r>
      <w:r w:rsidRPr="005B535A">
        <w:rPr>
          <w:rFonts w:ascii="Times New Roman" w:hAnsi="Times New Roman"/>
          <w:sz w:val="24"/>
          <w:szCs w:val="24"/>
        </w:rPr>
        <w:t xml:space="preserve">тсутствие задолженности по начисленным налогам, сборам и иным обязательным платежам в бюджеты любого уровня или государственные внебюджетные фонды за определенный Конкурсной документацией период, размер которой превышает установленный Конкурсной документацией </w:t>
      </w:r>
      <w:r w:rsidRPr="00181577">
        <w:rPr>
          <w:rFonts w:ascii="Times New Roman" w:hAnsi="Times New Roman"/>
          <w:sz w:val="24"/>
          <w:szCs w:val="24"/>
        </w:rPr>
        <w:t>предел, у</w:t>
      </w:r>
      <w:r>
        <w:rPr>
          <w:rFonts w:ascii="Times New Roman" w:hAnsi="Times New Roman"/>
          <w:sz w:val="24"/>
          <w:szCs w:val="24"/>
        </w:rPr>
        <w:t>становленный подпунктом 4.6 статьи 11 Конкурсной документации</w:t>
      </w:r>
      <w:r w:rsidRPr="005B535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E4457" w:rsidRPr="006151C9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51C9">
        <w:rPr>
          <w:rFonts w:ascii="Times New Roman" w:hAnsi="Times New Roman"/>
          <w:sz w:val="24"/>
          <w:szCs w:val="24"/>
        </w:rPr>
        <w:t xml:space="preserve">3) финансовая состоятельность заявителя, </w:t>
      </w:r>
      <w:r>
        <w:rPr>
          <w:rFonts w:ascii="Times New Roman" w:hAnsi="Times New Roman"/>
          <w:sz w:val="24"/>
          <w:szCs w:val="24"/>
        </w:rPr>
        <w:t>требования к которой</w:t>
      </w:r>
      <w:r w:rsidRPr="006151C9">
        <w:rPr>
          <w:rFonts w:ascii="Times New Roman" w:hAnsi="Times New Roman"/>
          <w:sz w:val="24"/>
          <w:szCs w:val="24"/>
        </w:rPr>
        <w:t xml:space="preserve"> установлен</w:t>
      </w:r>
      <w:r>
        <w:rPr>
          <w:rFonts w:ascii="Times New Roman" w:hAnsi="Times New Roman"/>
          <w:sz w:val="24"/>
          <w:szCs w:val="24"/>
        </w:rPr>
        <w:t>ы</w:t>
      </w:r>
      <w:r w:rsidRPr="006151C9">
        <w:rPr>
          <w:rFonts w:ascii="Times New Roman" w:hAnsi="Times New Roman"/>
          <w:sz w:val="24"/>
          <w:szCs w:val="24"/>
        </w:rPr>
        <w:t xml:space="preserve"> Конкурсной документацией;</w:t>
      </w:r>
    </w:p>
    <w:p w:rsidR="001E4457" w:rsidRPr="006151C9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51C9">
        <w:rPr>
          <w:rFonts w:ascii="Times New Roman" w:hAnsi="Times New Roman"/>
          <w:sz w:val="24"/>
          <w:szCs w:val="24"/>
        </w:rPr>
        <w:t xml:space="preserve">4) наличия у заявителя опыта создания и опыта эксплуатации объектов по обращению с отходами (одного объекта и более) на территории Российской Федерации, установленным Конкурсной документацией. </w:t>
      </w:r>
    </w:p>
    <w:p w:rsidR="001E4457" w:rsidRPr="00B65CB1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5CB1">
        <w:rPr>
          <w:rFonts w:ascii="Times New Roman" w:hAnsi="Times New Roman"/>
          <w:sz w:val="24"/>
          <w:szCs w:val="24"/>
        </w:rPr>
        <w:t xml:space="preserve">На основании заявок на участие в Конкурсе, предоставленных заявителями, будет проведен предварительный отбор и определены участники Конкурса, допущенные к подаче конкурсных предложений. Оценка заявок на участие в Конкурсе проводится на основе проверки соответствия предоставленных заявок требованиям к заявке и соответствия заявителей требованиям, изложенным в настоящем Сообщении.  </w:t>
      </w:r>
    </w:p>
    <w:p w:rsidR="001E4457" w:rsidRPr="00B65CB1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5CB1">
        <w:rPr>
          <w:rFonts w:ascii="Times New Roman" w:hAnsi="Times New Roman"/>
          <w:sz w:val="24"/>
          <w:szCs w:val="24"/>
        </w:rPr>
        <w:t>Заявители, не удовлетворяющие требованиям Конкурса либо предоставившие заявки на участие в Конкурсе, не удовлетворяющие требованиям к заявкам на участие в Конкурсе, или содержащие неполную и (или) недостоверную информацию в отношении фактов, изложенных в предоставляемых заявителем документах и материалах, не будут допущены к дальнейшему участию в Конкурсе.</w:t>
      </w:r>
    </w:p>
    <w:p w:rsidR="001E4457" w:rsidRPr="00B65CB1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5CB1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B65CB1">
        <w:rPr>
          <w:rFonts w:ascii="Times New Roman" w:hAnsi="Times New Roman"/>
          <w:sz w:val="24"/>
          <w:szCs w:val="24"/>
        </w:rPr>
        <w:t xml:space="preserve"> вправе отказаться от проведения Конкурса не позднее, чем за 30 (тридцать) календарных дней до его проведения.</w:t>
      </w:r>
    </w:p>
    <w:p w:rsidR="001E4457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5CB1">
        <w:rPr>
          <w:rFonts w:ascii="Times New Roman" w:hAnsi="Times New Roman"/>
          <w:sz w:val="24"/>
          <w:szCs w:val="24"/>
        </w:rPr>
        <w:t>Конкурсной документацией устанавливаются следующие критерии и параметры критериев Конкурса, на основе которых осуществляется оценка конкурсных предложений участников Конкурса:</w:t>
      </w:r>
    </w:p>
    <w:p w:rsidR="001E4457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1E4457" w:rsidRPr="00B65CB1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1E4457" w:rsidRPr="00B65CB1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1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616"/>
        <w:gridCol w:w="6"/>
        <w:gridCol w:w="2385"/>
        <w:gridCol w:w="1568"/>
        <w:gridCol w:w="1446"/>
        <w:gridCol w:w="10"/>
      </w:tblGrid>
      <w:tr w:rsidR="001E4457" w:rsidRPr="00B65CB1" w:rsidTr="006F0221">
        <w:tc>
          <w:tcPr>
            <w:tcW w:w="290" w:type="pct"/>
            <w:vMerge w:val="restart"/>
          </w:tcPr>
          <w:p w:rsidR="001E4457" w:rsidRPr="00B65CB1" w:rsidRDefault="001E4457" w:rsidP="006F0221">
            <w:pPr>
              <w:tabs>
                <w:tab w:val="left" w:pos="1418"/>
              </w:tabs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6" w:type="pct"/>
            <w:vMerge w:val="restart"/>
          </w:tcPr>
          <w:p w:rsidR="001E4457" w:rsidRPr="00B65CB1" w:rsidRDefault="001E4457" w:rsidP="006F0221">
            <w:pPr>
              <w:tabs>
                <w:tab w:val="left" w:pos="1418"/>
              </w:tabs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конкурса</w:t>
            </w:r>
          </w:p>
        </w:tc>
        <w:tc>
          <w:tcPr>
            <w:tcW w:w="2824" w:type="pct"/>
            <w:gridSpan w:val="5"/>
          </w:tcPr>
          <w:p w:rsidR="001E4457" w:rsidRPr="00B65CB1" w:rsidRDefault="001E4457" w:rsidP="006F0221">
            <w:pPr>
              <w:tabs>
                <w:tab w:val="left" w:pos="1418"/>
              </w:tabs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 критериев конкурса</w:t>
            </w:r>
          </w:p>
        </w:tc>
      </w:tr>
      <w:tr w:rsidR="001E4457" w:rsidRPr="00B65CB1" w:rsidTr="006F0221">
        <w:trPr>
          <w:gridAfter w:val="1"/>
          <w:wAfter w:w="5" w:type="pct"/>
        </w:trPr>
        <w:tc>
          <w:tcPr>
            <w:tcW w:w="290" w:type="pct"/>
            <w:vMerge/>
          </w:tcPr>
          <w:p w:rsidR="001E4457" w:rsidRPr="00B65CB1" w:rsidRDefault="001E4457" w:rsidP="006F0221">
            <w:pPr>
              <w:snapToGri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pct"/>
            <w:vMerge/>
          </w:tcPr>
          <w:p w:rsidR="001E4457" w:rsidRPr="00B65CB1" w:rsidRDefault="001E4457" w:rsidP="006F0221">
            <w:pPr>
              <w:snapToGri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gridSpan w:val="2"/>
          </w:tcPr>
          <w:p w:rsidR="001E4457" w:rsidRPr="00B65CB1" w:rsidRDefault="001E4457" w:rsidP="006F0221">
            <w:pPr>
              <w:tabs>
                <w:tab w:val="left" w:pos="1418"/>
              </w:tabs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начальное</w:t>
            </w:r>
            <w:proofErr w:type="gramEnd"/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значение критерия</w:t>
            </w:r>
          </w:p>
        </w:tc>
        <w:tc>
          <w:tcPr>
            <w:tcW w:w="818" w:type="pct"/>
          </w:tcPr>
          <w:p w:rsidR="001E4457" w:rsidRPr="00B65CB1" w:rsidRDefault="001E4457" w:rsidP="006F0221">
            <w:pPr>
              <w:tabs>
                <w:tab w:val="left" w:pos="1418"/>
              </w:tabs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требование</w:t>
            </w:r>
            <w:proofErr w:type="gramEnd"/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изменению начального значения</w:t>
            </w:r>
          </w:p>
        </w:tc>
        <w:tc>
          <w:tcPr>
            <w:tcW w:w="754" w:type="pct"/>
          </w:tcPr>
          <w:p w:rsidR="001E4457" w:rsidRPr="00B65CB1" w:rsidRDefault="001E4457" w:rsidP="006F0221">
            <w:pPr>
              <w:keepNext/>
              <w:keepLines/>
              <w:tabs>
                <w:tab w:val="left" w:pos="1379"/>
              </w:tabs>
              <w:ind w:left="-63" w:firstLine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значимости критерия</w:t>
            </w:r>
          </w:p>
        </w:tc>
      </w:tr>
      <w:tr w:rsidR="001E4457" w:rsidRPr="00B65CB1" w:rsidTr="006F0221">
        <w:trPr>
          <w:gridAfter w:val="1"/>
          <w:wAfter w:w="5" w:type="pct"/>
          <w:trHeight w:val="70"/>
        </w:trPr>
        <w:tc>
          <w:tcPr>
            <w:tcW w:w="290" w:type="pct"/>
          </w:tcPr>
          <w:p w:rsidR="001E4457" w:rsidRPr="00B65CB1" w:rsidRDefault="001E4457" w:rsidP="006F0221">
            <w:pPr>
              <w:widowControl w:val="0"/>
              <w:snapToGrid w:val="0"/>
              <w:ind w:left="0" w:firstLine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6" w:type="pct"/>
          </w:tcPr>
          <w:p w:rsidR="001E4457" w:rsidRPr="00B65CB1" w:rsidRDefault="001E4457" w:rsidP="006F0221">
            <w:pPr>
              <w:keepNext/>
              <w:keepLines/>
              <w:snapToGrid w:val="0"/>
              <w:ind w:left="0" w:firstLine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pct"/>
            <w:gridSpan w:val="2"/>
          </w:tcPr>
          <w:p w:rsidR="001E4457" w:rsidRPr="00B65CB1" w:rsidRDefault="001E4457" w:rsidP="006F0221">
            <w:pPr>
              <w:tabs>
                <w:tab w:val="left" w:pos="1418"/>
              </w:tabs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pct"/>
          </w:tcPr>
          <w:p w:rsidR="001E4457" w:rsidRPr="00B65CB1" w:rsidRDefault="001E4457" w:rsidP="006F0221">
            <w:pPr>
              <w:keepNext/>
              <w:keepLines/>
              <w:tabs>
                <w:tab w:val="left" w:pos="1418"/>
              </w:tabs>
              <w:ind w:left="0" w:firstLine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" w:type="pct"/>
          </w:tcPr>
          <w:p w:rsidR="001E4457" w:rsidRPr="00B65CB1" w:rsidRDefault="001E4457" w:rsidP="006F0221">
            <w:pPr>
              <w:tabs>
                <w:tab w:val="left" w:pos="1418"/>
              </w:tabs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E4457" w:rsidRPr="00B65CB1" w:rsidTr="006F0221">
        <w:trPr>
          <w:gridAfter w:val="1"/>
          <w:wAfter w:w="5" w:type="pct"/>
          <w:trHeight w:val="459"/>
        </w:trPr>
        <w:tc>
          <w:tcPr>
            <w:tcW w:w="290" w:type="pct"/>
          </w:tcPr>
          <w:p w:rsidR="001E4457" w:rsidRPr="00B65CB1" w:rsidRDefault="001E4457" w:rsidP="006F0221">
            <w:pPr>
              <w:widowControl w:val="0"/>
              <w:snapToGrid w:val="0"/>
              <w:ind w:left="0" w:firstLine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886" w:type="pct"/>
          </w:tcPr>
          <w:p w:rsidR="001E4457" w:rsidRPr="00B65CB1" w:rsidRDefault="001E4457" w:rsidP="006F0221">
            <w:pPr>
              <w:keepNext/>
              <w:keepLines/>
              <w:snapToGrid w:val="0"/>
              <w:ind w:left="0" w:firstLine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создания Объекта Концессионного соглашения, месяцев</w:t>
            </w:r>
          </w:p>
        </w:tc>
        <w:tc>
          <w:tcPr>
            <w:tcW w:w="1247" w:type="pct"/>
            <w:gridSpan w:val="2"/>
          </w:tcPr>
          <w:p w:rsidR="001E4457" w:rsidRPr="00B65CB1" w:rsidRDefault="001E4457" w:rsidP="006F0221">
            <w:pPr>
              <w:tabs>
                <w:tab w:val="left" w:pos="1418"/>
              </w:tabs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5CB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42(сорок два)</w:t>
            </w: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месяца с момента заключения Концессионного соглашения</w:t>
            </w:r>
          </w:p>
        </w:tc>
        <w:tc>
          <w:tcPr>
            <w:tcW w:w="818" w:type="pct"/>
          </w:tcPr>
          <w:p w:rsidR="001E4457" w:rsidRPr="00B65CB1" w:rsidRDefault="001E4457" w:rsidP="006F0221">
            <w:pPr>
              <w:keepNext/>
              <w:keepLines/>
              <w:tabs>
                <w:tab w:val="left" w:pos="1418"/>
              </w:tabs>
              <w:ind w:left="0" w:firstLine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</w:t>
            </w:r>
            <w:proofErr w:type="gramEnd"/>
          </w:p>
        </w:tc>
        <w:tc>
          <w:tcPr>
            <w:tcW w:w="754" w:type="pct"/>
          </w:tcPr>
          <w:p w:rsidR="001E4457" w:rsidRPr="00B65CB1" w:rsidRDefault="001E4457" w:rsidP="006F0221">
            <w:pPr>
              <w:tabs>
                <w:tab w:val="left" w:pos="1418"/>
              </w:tabs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E4457" w:rsidRPr="00B65CB1" w:rsidTr="006F0221">
        <w:trPr>
          <w:gridAfter w:val="1"/>
          <w:wAfter w:w="5" w:type="pct"/>
          <w:trHeight w:val="459"/>
        </w:trPr>
        <w:tc>
          <w:tcPr>
            <w:tcW w:w="290" w:type="pct"/>
          </w:tcPr>
          <w:p w:rsidR="001E4457" w:rsidRPr="00B65CB1" w:rsidRDefault="001E4457" w:rsidP="006F0221">
            <w:pPr>
              <w:widowControl w:val="0"/>
              <w:snapToGrid w:val="0"/>
              <w:ind w:left="0" w:firstLine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6" w:type="pct"/>
          </w:tcPr>
          <w:p w:rsidR="001E4457" w:rsidRPr="00B65CB1" w:rsidRDefault="001E4457" w:rsidP="006F0221">
            <w:pPr>
              <w:keepNext/>
              <w:keepLines/>
              <w:snapToGrid w:val="0"/>
              <w:ind w:left="0" w:firstLine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Технико-экономические показатели Объекта Концессионного соглашения</w:t>
            </w:r>
          </w:p>
        </w:tc>
        <w:tc>
          <w:tcPr>
            <w:tcW w:w="1247" w:type="pct"/>
            <w:gridSpan w:val="2"/>
          </w:tcPr>
          <w:p w:rsidR="001E4457" w:rsidRPr="00B65CB1" w:rsidRDefault="001E4457" w:rsidP="006F0221">
            <w:pPr>
              <w:tabs>
                <w:tab w:val="left" w:pos="1418"/>
              </w:tabs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</w:tcPr>
          <w:p w:rsidR="001E4457" w:rsidRPr="00B65CB1" w:rsidRDefault="001E4457" w:rsidP="006F0221">
            <w:pPr>
              <w:keepNext/>
              <w:keepLines/>
              <w:tabs>
                <w:tab w:val="left" w:pos="1418"/>
              </w:tabs>
              <w:ind w:left="0" w:firstLine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</w:tcPr>
          <w:p w:rsidR="001E4457" w:rsidRPr="00B65CB1" w:rsidRDefault="001E4457" w:rsidP="006F0221">
            <w:pPr>
              <w:tabs>
                <w:tab w:val="left" w:pos="1418"/>
              </w:tabs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4457" w:rsidRPr="00B65CB1" w:rsidTr="006F0221">
        <w:trPr>
          <w:gridAfter w:val="1"/>
          <w:wAfter w:w="5" w:type="pct"/>
        </w:trPr>
        <w:tc>
          <w:tcPr>
            <w:tcW w:w="290" w:type="pct"/>
          </w:tcPr>
          <w:p w:rsidR="001E4457" w:rsidRPr="00B65CB1" w:rsidRDefault="001E4457" w:rsidP="006F0221">
            <w:pPr>
              <w:widowControl w:val="0"/>
              <w:snapToGrid w:val="0"/>
              <w:ind w:left="0" w:firstLine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86" w:type="pct"/>
          </w:tcPr>
          <w:p w:rsidR="001E4457" w:rsidRPr="00B65CB1" w:rsidRDefault="001E4457" w:rsidP="006F0221">
            <w:pPr>
              <w:keepNext/>
              <w:keepLines/>
              <w:snapToGrid w:val="0"/>
              <w:ind w:left="0" w:firstLine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Массовая доля твердых коммунальных отходов, размещаемых на Объекте Концессионного соглашения и не подлежащих дальнейшей утилизации, в процентах от общего объема поступивших твердых коммунальных отходов, начиная со второго года эксплуатации Объекта Концессионного соглашения, процентов</w:t>
            </w:r>
          </w:p>
        </w:tc>
        <w:tc>
          <w:tcPr>
            <w:tcW w:w="1247" w:type="pct"/>
            <w:gridSpan w:val="2"/>
          </w:tcPr>
          <w:p w:rsidR="001E4457" w:rsidRPr="00B65CB1" w:rsidRDefault="001E4457" w:rsidP="006F0221">
            <w:pPr>
              <w:tabs>
                <w:tab w:val="left" w:pos="1418"/>
              </w:tabs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(шестьдесят) %</w:t>
            </w:r>
          </w:p>
        </w:tc>
        <w:tc>
          <w:tcPr>
            <w:tcW w:w="818" w:type="pct"/>
          </w:tcPr>
          <w:p w:rsidR="001E4457" w:rsidRPr="00B65CB1" w:rsidRDefault="001E4457" w:rsidP="006F0221">
            <w:pPr>
              <w:keepNext/>
              <w:keepLines/>
              <w:tabs>
                <w:tab w:val="left" w:pos="1418"/>
              </w:tabs>
              <w:ind w:left="0" w:firstLine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</w:t>
            </w:r>
            <w:proofErr w:type="gramEnd"/>
          </w:p>
        </w:tc>
        <w:tc>
          <w:tcPr>
            <w:tcW w:w="754" w:type="pct"/>
          </w:tcPr>
          <w:p w:rsidR="001E4457" w:rsidRPr="00B65CB1" w:rsidRDefault="001E4457" w:rsidP="006F0221">
            <w:pPr>
              <w:tabs>
                <w:tab w:val="left" w:pos="1418"/>
              </w:tabs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1E4457" w:rsidRPr="00B65CB1" w:rsidTr="006F0221">
        <w:trPr>
          <w:gridAfter w:val="1"/>
          <w:wAfter w:w="5" w:type="pct"/>
          <w:trHeight w:val="1194"/>
        </w:trPr>
        <w:tc>
          <w:tcPr>
            <w:tcW w:w="290" w:type="pct"/>
          </w:tcPr>
          <w:p w:rsidR="001E4457" w:rsidRPr="00B65CB1" w:rsidRDefault="001E4457" w:rsidP="006F0221">
            <w:pPr>
              <w:widowControl w:val="0"/>
              <w:snapToGrid w:val="0"/>
              <w:ind w:left="0" w:firstLine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9" w:type="pct"/>
            <w:gridSpan w:val="2"/>
          </w:tcPr>
          <w:p w:rsidR="001E4457" w:rsidRPr="00B65CB1" w:rsidRDefault="001E4457" w:rsidP="006F022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части расходов </w:t>
            </w:r>
            <w:proofErr w:type="spellStart"/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создание Объекта (капитальный грант), рублей</w:t>
            </w:r>
          </w:p>
        </w:tc>
        <w:tc>
          <w:tcPr>
            <w:tcW w:w="1244" w:type="pct"/>
          </w:tcPr>
          <w:p w:rsidR="001E4457" w:rsidRPr="00B65CB1" w:rsidRDefault="001E4457" w:rsidP="006F0221">
            <w:pPr>
              <w:tabs>
                <w:tab w:val="left" w:pos="14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287 673 540 (двести восемьдесят семь миллионов шестьсот семьдесят три тысячи пятьсот сорок рублей)</w:t>
            </w:r>
          </w:p>
        </w:tc>
        <w:tc>
          <w:tcPr>
            <w:tcW w:w="818" w:type="pct"/>
          </w:tcPr>
          <w:p w:rsidR="001E4457" w:rsidRPr="00B65CB1" w:rsidRDefault="001E4457" w:rsidP="006F0221">
            <w:pPr>
              <w:keepNext/>
              <w:keepLines/>
              <w:tabs>
                <w:tab w:val="left" w:pos="1418"/>
              </w:tabs>
              <w:ind w:left="0" w:firstLine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</w:t>
            </w:r>
            <w:proofErr w:type="gramEnd"/>
          </w:p>
        </w:tc>
        <w:tc>
          <w:tcPr>
            <w:tcW w:w="754" w:type="pct"/>
          </w:tcPr>
          <w:p w:rsidR="001E4457" w:rsidRPr="00B65CB1" w:rsidRDefault="001E4457" w:rsidP="006F0221">
            <w:pPr>
              <w:tabs>
                <w:tab w:val="left" w:pos="1418"/>
              </w:tabs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</w:tbl>
    <w:p w:rsidR="001E4457" w:rsidRPr="00155F06" w:rsidRDefault="001E4457" w:rsidP="001E4457">
      <w:pPr>
        <w:widowControl w:val="0"/>
        <w:ind w:left="0" w:firstLine="0"/>
        <w:jc w:val="both"/>
        <w:outlineLvl w:val="2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155F06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</w:t>
      </w:r>
    </w:p>
    <w:p w:rsidR="001E4457" w:rsidRPr="004E5AA1" w:rsidRDefault="001E4457" w:rsidP="001E4457">
      <w:pPr>
        <w:spacing w:before="60" w:after="6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5AA1">
        <w:rPr>
          <w:rFonts w:ascii="Times New Roman" w:hAnsi="Times New Roman"/>
          <w:color w:val="000000" w:themeColor="text1"/>
          <w:sz w:val="24"/>
          <w:szCs w:val="24"/>
        </w:rPr>
        <w:t xml:space="preserve">Заявки на участие в Конкурсе представляются в Конкурсную комиссию по месту нахождения в запечатанных конвертах (коробках) с пометкой «ЗАЯВКА НА УЧАСТИЕ В ОТКРЫТОМ КОНКУРСЕ НА ПРАВО ЗАКЛЮЧЕНИЯ КОНЦЕССИОННОГО СОГЛАШЕНИЯ О СОЗДАНИИ И ЭКСПЛУАТАЦИИ БЕЛОЯРСКОГО МЕЖПОСЕЛЕНЧЕСКОГО ПОЛИГОНА» (на конверте также указываются: наименование и адрес заявителя и адрес для подачи заявок на участие в Конкурсе) с </w:t>
      </w:r>
      <w:r w:rsidRPr="004E5AA1">
        <w:rPr>
          <w:rFonts w:ascii="Times New Roman" w:hAnsi="Times New Roman"/>
          <w:b/>
          <w:color w:val="000000" w:themeColor="text1"/>
          <w:sz w:val="24"/>
          <w:szCs w:val="24"/>
        </w:rPr>
        <w:t>09.00 ч</w:t>
      </w:r>
      <w:r w:rsidR="00F978A2" w:rsidRPr="004E5AA1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4E5A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978A2" w:rsidRPr="004E5AA1">
        <w:rPr>
          <w:rFonts w:ascii="Times New Roman" w:hAnsi="Times New Roman"/>
          <w:b/>
          <w:color w:val="000000" w:themeColor="text1"/>
          <w:sz w:val="24"/>
          <w:szCs w:val="24"/>
        </w:rPr>
        <w:t>09.03.2022 г.</w:t>
      </w:r>
      <w:r w:rsidRPr="004E5A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до 17.00 </w:t>
      </w:r>
      <w:r w:rsidR="00F978A2" w:rsidRPr="004E5AA1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ч. 19.04.2022 г.</w:t>
      </w:r>
      <w:r w:rsidRPr="004E5AA1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4E5AA1">
        <w:rPr>
          <w:rFonts w:ascii="Times New Roman" w:hAnsi="Times New Roman"/>
          <w:b/>
          <w:color w:val="000000" w:themeColor="text1"/>
          <w:sz w:val="24"/>
          <w:szCs w:val="24"/>
        </w:rPr>
        <w:t>по рабочим дням.</w:t>
      </w:r>
    </w:p>
    <w:p w:rsidR="001E4457" w:rsidRPr="004E5AA1" w:rsidRDefault="001E4457" w:rsidP="001E4457">
      <w:pPr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E5AA1">
        <w:rPr>
          <w:rFonts w:ascii="Times New Roman" w:hAnsi="Times New Roman"/>
          <w:color w:val="000000" w:themeColor="text1"/>
          <w:sz w:val="24"/>
          <w:szCs w:val="24"/>
        </w:rPr>
        <w:t>Конкурсные предложения представляются участниками Конкурса в Конкурсную комиссию по месту нахождения в запечатанных конвертах (коробках) с пометкой «КОНКУРСНОЕ ПРЕДЛОЖЕНИЕ ПО ОТКРЫТОМУ КОНКУРСУ НА ПРАВО ЗАКЛЮЧЕНИЯ КОНЦЕССИОННОГО СОГЛАШЕНИЯ О СОЗДАНИИ И ЭКСПЛУАТАЦИИ БЕЛОЯРСКОГО МЕЖПОСЕЛЕНЧЕСКОГО ПОЛИГОНА» (на конверте также указываются: наименование и адрес участника и адрес для подачи кон</w:t>
      </w:r>
      <w:r w:rsidR="004E5AA1" w:rsidRPr="004E5AA1">
        <w:rPr>
          <w:rFonts w:ascii="Times New Roman" w:hAnsi="Times New Roman"/>
          <w:color w:val="000000" w:themeColor="text1"/>
          <w:sz w:val="24"/>
          <w:szCs w:val="24"/>
        </w:rPr>
        <w:t xml:space="preserve">курсного предложения) </w:t>
      </w:r>
      <w:r w:rsidR="004E5AA1" w:rsidRPr="004E5AA1">
        <w:rPr>
          <w:rFonts w:ascii="Times New Roman" w:hAnsi="Times New Roman"/>
          <w:b/>
          <w:color w:val="000000" w:themeColor="text1"/>
          <w:sz w:val="24"/>
          <w:szCs w:val="24"/>
        </w:rPr>
        <w:t>с 09.00 ч. 26.04.2022 г.</w:t>
      </w:r>
      <w:r w:rsidRPr="004E5A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E5AA1" w:rsidRPr="004E5A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4E5AA1">
        <w:rPr>
          <w:rFonts w:ascii="Times New Roman" w:hAnsi="Times New Roman"/>
          <w:b/>
          <w:color w:val="000000" w:themeColor="text1"/>
          <w:sz w:val="24"/>
          <w:szCs w:val="24"/>
        </w:rPr>
        <w:t>до</w:t>
      </w:r>
      <w:proofErr w:type="gramEnd"/>
      <w:r w:rsidRPr="004E5A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17.00 ч</w:t>
      </w:r>
      <w:r w:rsidR="004E5AA1" w:rsidRPr="004E5A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25.07.2022 г. </w:t>
      </w:r>
      <w:r w:rsidRPr="004E5AA1">
        <w:rPr>
          <w:rFonts w:ascii="Times New Roman" w:hAnsi="Times New Roman"/>
          <w:b/>
          <w:color w:val="000000" w:themeColor="text1"/>
          <w:sz w:val="24"/>
          <w:szCs w:val="24"/>
        </w:rPr>
        <w:t>по рабочим дням.</w:t>
      </w:r>
    </w:p>
    <w:p w:rsidR="001E4457" w:rsidRPr="004E5AA1" w:rsidRDefault="001E4457" w:rsidP="001E4457">
      <w:pPr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5AA1">
        <w:rPr>
          <w:rFonts w:ascii="Times New Roman" w:hAnsi="Times New Roman"/>
          <w:color w:val="000000" w:themeColor="text1"/>
          <w:sz w:val="24"/>
          <w:szCs w:val="24"/>
        </w:rPr>
        <w:t xml:space="preserve">Обеспечением обязательства по заключению Концессионного соглашения является Задаток в размере 10 000 000,00 (десять миллионов) рублей. </w:t>
      </w:r>
    </w:p>
    <w:p w:rsidR="001E4457" w:rsidRPr="00A00E68" w:rsidRDefault="001E4457" w:rsidP="001E4457">
      <w:pPr>
        <w:ind w:left="0" w:firstLine="567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0E68">
        <w:rPr>
          <w:rFonts w:ascii="Times New Roman" w:hAnsi="Times New Roman"/>
          <w:sz w:val="24"/>
          <w:szCs w:val="24"/>
          <w:lang w:eastAsia="ru-RU"/>
        </w:rPr>
        <w:t xml:space="preserve">Указанная сумма Задатка должна быть зачислена на счёт Организатора Конкурса </w:t>
      </w:r>
      <w:r w:rsidRPr="00A00E68">
        <w:rPr>
          <w:rFonts w:ascii="Times New Roman" w:eastAsia="Times New Roman" w:hAnsi="Times New Roman"/>
          <w:sz w:val="24"/>
          <w:szCs w:val="24"/>
          <w:lang w:eastAsia="ru-RU"/>
        </w:rPr>
        <w:t xml:space="preserve">не позднее 3 (трех) календарных дней до даты окончания срока предоставления заявок на участие в Конкурсе. </w:t>
      </w:r>
    </w:p>
    <w:p w:rsidR="001E4457" w:rsidRPr="00A00E68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t xml:space="preserve">В составе Заявки на участие в Конкурсе Заявитель должен представить платежное поручение, подтверждающее факт внесения суммы задатка в полном размере на счет Организатора Конкурса, по следующим реквизитам: </w:t>
      </w:r>
    </w:p>
    <w:p w:rsidR="001E4457" w:rsidRPr="00A00E68" w:rsidRDefault="001E4457" w:rsidP="001E4457">
      <w:pPr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0E68">
        <w:rPr>
          <w:rFonts w:ascii="Times New Roman" w:eastAsia="Times New Roman" w:hAnsi="Times New Roman"/>
          <w:sz w:val="24"/>
          <w:szCs w:val="24"/>
          <w:lang w:eastAsia="ru-RU"/>
        </w:rPr>
        <w:t>РЕКВИЗИТЫ</w:t>
      </w:r>
    </w:p>
    <w:p w:rsidR="001E4457" w:rsidRPr="00A00E68" w:rsidRDefault="001E4457" w:rsidP="001E445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t>Банк получателя:</w:t>
      </w:r>
    </w:p>
    <w:p w:rsidR="001E4457" w:rsidRPr="00A00E68" w:rsidRDefault="001E4457" w:rsidP="001E445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lastRenderedPageBreak/>
        <w:t>РКЦ ХАНТЫ-МАНСИЙСК//УФК по Ханты-Мансийскому автономному округу-Югре г. Ханты-Мансийск; БИК 007162163</w:t>
      </w:r>
    </w:p>
    <w:p w:rsidR="001E4457" w:rsidRPr="00A00E68" w:rsidRDefault="001E4457" w:rsidP="001E445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t>Единый казначейский счет 40102810245370000007</w:t>
      </w:r>
    </w:p>
    <w:p w:rsidR="001E4457" w:rsidRPr="00A00E68" w:rsidRDefault="001E4457" w:rsidP="001E445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t xml:space="preserve">Казначейский </w:t>
      </w:r>
      <w:proofErr w:type="gramStart"/>
      <w:r w:rsidRPr="00A00E68">
        <w:rPr>
          <w:rFonts w:ascii="Times New Roman" w:hAnsi="Times New Roman"/>
          <w:sz w:val="24"/>
          <w:szCs w:val="24"/>
        </w:rPr>
        <w:t>счет  №</w:t>
      </w:r>
      <w:proofErr w:type="gramEnd"/>
      <w:r w:rsidRPr="00A00E68">
        <w:rPr>
          <w:rFonts w:ascii="Times New Roman" w:hAnsi="Times New Roman"/>
          <w:sz w:val="24"/>
          <w:szCs w:val="24"/>
        </w:rPr>
        <w:t xml:space="preserve"> 03232643718110008700</w:t>
      </w:r>
    </w:p>
    <w:p w:rsidR="001E4457" w:rsidRPr="00A00E68" w:rsidRDefault="001E4457" w:rsidP="001E4457">
      <w:pPr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0E68">
        <w:rPr>
          <w:rFonts w:ascii="Times New Roman" w:hAnsi="Times New Roman"/>
          <w:sz w:val="24"/>
          <w:szCs w:val="24"/>
        </w:rPr>
        <w:t>Получатель:  ИНН</w:t>
      </w:r>
      <w:proofErr w:type="gramEnd"/>
      <w:r w:rsidRPr="00A00E68">
        <w:rPr>
          <w:rFonts w:ascii="Times New Roman" w:hAnsi="Times New Roman"/>
          <w:sz w:val="24"/>
          <w:szCs w:val="24"/>
        </w:rPr>
        <w:t xml:space="preserve"> 8611007727, КПП 861101001, ОКТМО 71811000.</w:t>
      </w:r>
    </w:p>
    <w:p w:rsidR="001E4457" w:rsidRPr="00A00E68" w:rsidRDefault="001E4457" w:rsidP="001E445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t>УФК по Ханты-Мансийскому автономному округу-Югре (Комитет по финансам, Комитет муниципальной собственности)</w:t>
      </w:r>
    </w:p>
    <w:p w:rsidR="001E4457" w:rsidRPr="00A00E68" w:rsidRDefault="001E4457" w:rsidP="001E445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t>Л/с 070.00.001.3 КБК 070 30399050050000180</w:t>
      </w:r>
    </w:p>
    <w:p w:rsidR="001E4457" w:rsidRPr="00A00E68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t xml:space="preserve">В назначении платежа должно быть указано: «Задаток в обеспечение заключения КС о создании и эксплуатации Белоярского </w:t>
      </w:r>
      <w:proofErr w:type="spellStart"/>
      <w:r w:rsidRPr="00A00E68">
        <w:rPr>
          <w:rFonts w:ascii="Times New Roman" w:hAnsi="Times New Roman"/>
          <w:sz w:val="24"/>
          <w:szCs w:val="24"/>
        </w:rPr>
        <w:t>межпоселенческого</w:t>
      </w:r>
      <w:proofErr w:type="spellEnd"/>
      <w:r w:rsidRPr="00A00E68">
        <w:rPr>
          <w:rFonts w:ascii="Times New Roman" w:hAnsi="Times New Roman"/>
          <w:sz w:val="24"/>
          <w:szCs w:val="24"/>
        </w:rPr>
        <w:t xml:space="preserve"> полигона».</w:t>
      </w:r>
    </w:p>
    <w:p w:rsidR="001E4457" w:rsidRPr="00A00E68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t xml:space="preserve">Вскрытие конвертов (коробок) с заявками на участие в Конкурсе будет произведено в 17.00 </w:t>
      </w:r>
      <w:proofErr w:type="gramStart"/>
      <w:r w:rsidRPr="00A00E68">
        <w:rPr>
          <w:rFonts w:ascii="Times New Roman" w:hAnsi="Times New Roman"/>
          <w:spacing w:val="-1"/>
          <w:sz w:val="24"/>
          <w:szCs w:val="24"/>
        </w:rPr>
        <w:t>ч</w:t>
      </w:r>
      <w:r w:rsidRPr="00A00E68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73A65">
        <w:rPr>
          <w:rFonts w:ascii="Times New Roman" w:hAnsi="Times New Roman"/>
          <w:spacing w:val="-1"/>
          <w:sz w:val="24"/>
          <w:szCs w:val="24"/>
        </w:rPr>
        <w:t>20.</w:t>
      </w:r>
      <w:r w:rsidR="00273A65" w:rsidRPr="00273A65">
        <w:rPr>
          <w:rFonts w:ascii="Times New Roman" w:hAnsi="Times New Roman"/>
          <w:spacing w:val="-1"/>
          <w:sz w:val="24"/>
          <w:szCs w:val="24"/>
        </w:rPr>
        <w:t>04</w:t>
      </w:r>
      <w:r w:rsidR="00273A65">
        <w:rPr>
          <w:rFonts w:ascii="Times New Roman" w:hAnsi="Times New Roman"/>
          <w:spacing w:val="-1"/>
          <w:sz w:val="24"/>
          <w:szCs w:val="24"/>
        </w:rPr>
        <w:t>.2022</w:t>
      </w:r>
      <w:proofErr w:type="gramEnd"/>
      <w:r w:rsidR="00273A65">
        <w:rPr>
          <w:rFonts w:ascii="Times New Roman" w:hAnsi="Times New Roman"/>
          <w:spacing w:val="-1"/>
          <w:sz w:val="24"/>
          <w:szCs w:val="24"/>
        </w:rPr>
        <w:t xml:space="preserve"> г.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00E68">
        <w:rPr>
          <w:rFonts w:ascii="Times New Roman" w:hAnsi="Times New Roman"/>
          <w:sz w:val="24"/>
          <w:szCs w:val="24"/>
        </w:rPr>
        <w:t>по адресу: 628161, Ханты-Мансийский автономный округ – Югра, г. Белоярский, ул. Центральная, д. 11.</w:t>
      </w:r>
    </w:p>
    <w:p w:rsidR="001E4457" w:rsidRPr="00A00E68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t xml:space="preserve">Вскрытие конвертов (коробок) с конкурсными предложениями будет произведено в </w:t>
      </w:r>
      <w:bookmarkStart w:id="0" w:name="_GoBack"/>
      <w:bookmarkEnd w:id="0"/>
      <w:r w:rsidRPr="00A00E68">
        <w:rPr>
          <w:rFonts w:ascii="Times New Roman" w:hAnsi="Times New Roman"/>
          <w:sz w:val="24"/>
          <w:szCs w:val="24"/>
        </w:rPr>
        <w:t>17.00 ч в день окончания приема заявок по адресу: 628161, Ханты-Мансийский автономный округ – Югра, г. Белоярский, ул. Центральная, д. 11.</w:t>
      </w:r>
    </w:p>
    <w:p w:rsidR="001E4457" w:rsidRPr="00A00E68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t>Перечисленные выше сроки могут быть изменены решением Организатора Конкурса о внесении изменений в Конкурсную документацию. Соответствующие сообщения о внесении изменений в Конкурсную документацию подлежат опубликованию в установленном порядке.</w:t>
      </w:r>
    </w:p>
    <w:p w:rsidR="001E4457" w:rsidRPr="00A00E68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t xml:space="preserve">Победитель Конкурса определяется путем распределения Конкурсной комиссией Конкурсных предложений по результатам рассмотрения и оценки представленных Конкурсных предложений в порядке, установленном в части </w:t>
      </w:r>
      <w:r w:rsidRPr="00A00E68">
        <w:rPr>
          <w:rFonts w:ascii="Times New Roman" w:hAnsi="Times New Roman"/>
          <w:sz w:val="24"/>
          <w:szCs w:val="24"/>
          <w:lang w:val="en-US"/>
        </w:rPr>
        <w:t>III</w:t>
      </w:r>
      <w:r w:rsidRPr="00A00E68">
        <w:rPr>
          <w:rFonts w:ascii="Times New Roman" w:hAnsi="Times New Roman"/>
          <w:sz w:val="24"/>
          <w:szCs w:val="24"/>
        </w:rPr>
        <w:t xml:space="preserve"> «Конкурс» Конкурсной документации. Наивысший рейтинг (первое место) присваивается конкурсному предложению, получившему в результате оценки наивысший суммарный балл, то есть содержащему наилучшие условия из всех условий, предложенных в оцениваемых конкурсных предложениях.</w:t>
      </w:r>
    </w:p>
    <w:p w:rsidR="001E4457" w:rsidRPr="00A00E68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t xml:space="preserve">Протокол о результатах проведения Конкурса должен быть подписан в течение 5 (пяти) рабочих дней со дня подписания Конкурсной комиссией протокола рассмотрения и оценки Конкурсных предложений. </w:t>
      </w:r>
    </w:p>
    <w:p w:rsidR="001E4457" w:rsidRPr="00A00E68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t xml:space="preserve"> Концессионное соглашение подписывается не позднее срока, предусмотренного Графиком проведения Конкурса (Таблица 1 Части 1 Конкурсной документации), при условии предоставления лицом, с которым подписывается Концессионное соглашение, предусмотренных Конкурсной документацией документов. Сроки подписания Концессионного соглашения могут быть изменены только в случаях, предусмотренных Конкурсной документацией. </w:t>
      </w:r>
    </w:p>
    <w:p w:rsidR="001E4457" w:rsidRPr="00A00E68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t xml:space="preserve">В случаях, предусмотренных пунктами 2 и 3 статьи 36 Федерального </w:t>
      </w:r>
      <w:hyperlink r:id="rId7" w:history="1">
        <w:r w:rsidRPr="00A00E68">
          <w:rPr>
            <w:rFonts w:ascii="Times New Roman" w:hAnsi="Times New Roman"/>
            <w:sz w:val="24"/>
            <w:szCs w:val="24"/>
          </w:rPr>
          <w:t>закона</w:t>
        </w:r>
      </w:hyperlink>
      <w:r w:rsidRPr="00A00E68">
        <w:rPr>
          <w:rFonts w:ascii="Times New Roman" w:hAnsi="Times New Roman"/>
          <w:sz w:val="24"/>
          <w:szCs w:val="24"/>
        </w:rPr>
        <w:t xml:space="preserve"> </w:t>
      </w:r>
      <w:r w:rsidRPr="00A00E68">
        <w:rPr>
          <w:rFonts w:ascii="Times New Roman" w:hAnsi="Times New Roman"/>
          <w:sz w:val="24"/>
          <w:szCs w:val="24"/>
        </w:rPr>
        <w:br/>
        <w:t>«О концессионных соглашениях», Концессионное соглашение заключается с иным лицом, в отношении которого принято Решение о заключении Концессионного соглашения</w:t>
      </w:r>
      <w:r w:rsidRPr="00D31CE6">
        <w:rPr>
          <w:rFonts w:ascii="Times New Roman" w:hAnsi="Times New Roman"/>
          <w:sz w:val="24"/>
          <w:szCs w:val="24"/>
        </w:rPr>
        <w:t xml:space="preserve">, в течение 30 (тридцати) рабочих дней </w:t>
      </w:r>
      <w:r w:rsidRPr="00A00E68">
        <w:rPr>
          <w:rFonts w:ascii="Times New Roman" w:hAnsi="Times New Roman"/>
          <w:sz w:val="24"/>
          <w:szCs w:val="24"/>
        </w:rPr>
        <w:t xml:space="preserve">с момента направления </w:t>
      </w:r>
      <w:proofErr w:type="spellStart"/>
      <w:r w:rsidRPr="00A00E68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A00E68">
        <w:rPr>
          <w:rFonts w:ascii="Times New Roman" w:hAnsi="Times New Roman"/>
          <w:sz w:val="24"/>
          <w:szCs w:val="24"/>
        </w:rPr>
        <w:t xml:space="preserve"> предложения о заключении Концессионного соглашения и проекта Концессионного соглашения.</w:t>
      </w:r>
    </w:p>
    <w:p w:rsidR="001E4457" w:rsidRPr="00A00E68" w:rsidRDefault="001E4457" w:rsidP="001E4457">
      <w:p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0E68">
        <w:rPr>
          <w:rFonts w:ascii="Times New Roman" w:hAnsi="Times New Roman"/>
          <w:sz w:val="24"/>
          <w:szCs w:val="24"/>
        </w:rPr>
        <w:t xml:space="preserve">Необходимая информация и сведения о ходе и результатах проведения Конкурса размещаются на официальном сайте Российской Федерации – www.torgi.gov.ru и на официальном сайте </w:t>
      </w:r>
      <w:proofErr w:type="spellStart"/>
      <w:r w:rsidRPr="00A00E68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A00E68">
        <w:rPr>
          <w:rFonts w:ascii="Times New Roman" w:hAnsi="Times New Roman"/>
          <w:sz w:val="24"/>
          <w:szCs w:val="24"/>
        </w:rPr>
        <w:t xml:space="preserve"> – </w:t>
      </w:r>
      <w:hyperlink r:id="rId8" w:history="1">
        <w:proofErr w:type="gramStart"/>
        <w:r w:rsidRPr="00A00E6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A00E6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00E68">
          <w:rPr>
            <w:rStyle w:val="a3"/>
            <w:rFonts w:ascii="Times New Roman" w:hAnsi="Times New Roman"/>
            <w:sz w:val="24"/>
            <w:szCs w:val="24"/>
            <w:lang w:val="en-US"/>
          </w:rPr>
          <w:t>admbel</w:t>
        </w:r>
        <w:proofErr w:type="spellEnd"/>
        <w:r w:rsidRPr="00A00E6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00E6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A00E68">
        <w:rPr>
          <w:rFonts w:ascii="Times New Roman" w:hAnsi="Times New Roman"/>
          <w:sz w:val="24"/>
          <w:szCs w:val="24"/>
        </w:rPr>
        <w:t xml:space="preserve"> </w:t>
      </w:r>
      <w:r w:rsidRPr="00A00E68">
        <w:rPr>
          <w:sz w:val="24"/>
          <w:szCs w:val="24"/>
        </w:rPr>
        <w:t>.</w:t>
      </w:r>
      <w:proofErr w:type="gramEnd"/>
    </w:p>
    <w:p w:rsidR="00F829E1" w:rsidRDefault="00F829E1"/>
    <w:sectPr w:rsidR="00F82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12"/>
    <w:rsid w:val="001E4457"/>
    <w:rsid w:val="00273A65"/>
    <w:rsid w:val="00411D7D"/>
    <w:rsid w:val="004E5AA1"/>
    <w:rsid w:val="00672F12"/>
    <w:rsid w:val="00BB0B54"/>
    <w:rsid w:val="00BD4837"/>
    <w:rsid w:val="00F829E1"/>
    <w:rsid w:val="00F9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256B6-155B-4003-8C22-1E7643D3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457"/>
    <w:pPr>
      <w:spacing w:after="0" w:line="240" w:lineRule="auto"/>
      <w:ind w:left="5664" w:firstLine="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E44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e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E38586CB69C541727E00B414B48C75E3201591558B2AD7C9870F52W04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bel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dmbel@admbe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Сиунова Ольга Владимировна</dc:creator>
  <cp:keywords/>
  <dc:description/>
  <cp:lastModifiedBy>Сиунова Ольга Владимировна</cp:lastModifiedBy>
  <cp:revision>4</cp:revision>
  <dcterms:created xsi:type="dcterms:W3CDTF">2022-03-04T05:14:00Z</dcterms:created>
  <dcterms:modified xsi:type="dcterms:W3CDTF">2022-03-05T04:43:00Z</dcterms:modified>
</cp:coreProperties>
</file>