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outlineLvl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ДУМА БЕЛОЯРСКОГО РАЙОНА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РЕШЕНИЕ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29 июня 2011 г. N 177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ОБ УТВЕРЖДЕНИИ ПЕРЕЧНЯ УСЛУГ, КОТОРЫЕ ЯВЛЯЮТСЯ НЕОБХОДИМЫМИ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 ОБЯЗАТЕЛЬНЫМИ ДЛЯ ПРЕДОСТАВЛЕНИЯ ОРГАНАМИ МЕСТНОГО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САМОУПРАВЛЕНИЯ БЕЛОЯРСКОГО РАЙОНА МУНИЦИПАЛЬНЫХ УСЛУГ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И ПРЕДОСТАВЛЯЮТСЯ ОРГАНИЗАЦИЯМИ И УПОЛНОМОЧЕННЫМИ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СООТВЕТСТВИИ С ЗАКОНОДАТЕЛЬСТВОМ РОССИЙСКОЙ ФЕДЕРАЦИИ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ЭКСПЕРТАМИ, УЧАСТВУЮЩИМИ В ПРЕДОСТАВЛЕНИИ МУНИЦИПАЛЬНЫХ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УСЛУГ, И УСТАНОВЛЕНИИ ПОРЯДКА ОПРЕДЕЛЕНИЯ РАЗМЕРА ПЛАТЫ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 ИХ ОКАЗАНИЕ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(в ред. решений Думы Белоярского района от 17.12.2013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consultantplus://offline/ref=65585879F01739A1F2AFA671B21A14C84A9EEEC3CFC5A0458D60EE8EFADAC32DEE2916A311E096113E4F2588FDC9A9C0F3941BAF99457C1AB1A288h4FDL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417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14.08.2014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consultantplus://offline/ref=65585879F01739A1F2AFA671B21A14C84A9EEEC3C7CDAA408F6FB384F283CF2FE92649B416A99A103E4F258DF396ACD5E2CC17AC855A7F06ADA08A4Ch1F1L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465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12.12.2014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consultantplus://offline/ref=65585879F01739A1F2AFA671B21A14C84A9EEEC3C7CDA1408E68B384F283CF2FE92649B416A99A103E4F258DF396ACD5E2CC17AC855A7F06ADA08A4Ch1F1L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505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28.05.2015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consultantplus://offline/ref=65585879F01739A1F2AFA671B21A14C84A9EEEC3C7CCAD458F69B384F283CF2FE92649B416A99A103E4F258DF396ACD5E2CC17AC855A7F06ADA08A4Ch1F1L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560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18.01.2017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consultantplus://offline/ref=65585879F01739A1F2AFA671B21A14C84A9EEEC3C7C9AF418E63B384F283CF2FE92649B416A99A103E4F258DF396ACD5E2CC17AC855A7F06ADA08A4Ch1F1L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10.02.2017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consultantplus://offline/ref=65585879F01739A1F2AFA671B21A14C84A9EEEC3C7C9AE468D62B384F283CF2FE92649B416A99A103E4F258DF396ACD5E2CC17AC855A7F06ADA08A4Ch1F1L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14.02.2018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consultantplus://offline/ref=65585879F01739A1F2AFA671B21A14C84A9EEEC3C7CBA1408D6BB384F283CF2FE92649B416A99A103E4F258DF396ACD5E2CC17AC855A7F06ADA08A4Ch1F1L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23.10.2019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consultantplus://offline/ref=65585879F01739A1F2AFA671B21A14C84A9EEEC3C4CDA8408A62B384F283CF2FE92649B416A99A103E4F258DF396ACD5E2CC17AC855A7F06ADA08A4Ch1F1L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55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18.05.2021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consultantplus://offline/ref=65585879F01739A1F2AFA671B21A14C84A9EEEC3C4CEAA408268B384F283CF2FE92649B416A99A103E4F258DF396ACD5E2CC17AC855A7F06ADA08A4Ch1F1L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24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consultantplus://offline/ref=65585879F01739A1F2AFB87CA47643C74890B3CDC7CEA214D73FB5D3ADD3C97AA9664FE155ED9714374471DCB2C8F585A4871BAF99467E06hBF0L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статьей 9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 Дума Белоярского района решила: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Утвердить прилагаемый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Par43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Перечень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(п. 1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consultantplus://offline/ref=65585879F01739A1F2AFA671B21A14C84A9EEEC3C4CEAA408268B384F283CF2FE92649B416A99A103E4F258DFE96ACD5E2CC17AC855A7F06ADA08A4Ch1F1L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18.05.2021 N 24)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Установить, что размер платы за оказание услуг,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определяется в следующем порядке: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consultantplus://offline/ref=65585879F01739A1F2AFA671B21A14C84A9EEEC3C4CEAA408268B384F283CF2FE92649B416A99A103E4F258CF796ACD5E2CC17AC855A7F06ADA08A4Ch1F1L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18.05.2021 N 24)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bookmarkStart w:id="0" w:name="Par25"/>
      <w:bookmarkEnd w:id="0"/>
      <w:r>
        <w:rPr>
          <w:rFonts w:hint="default" w:ascii="Times New Roman" w:hAnsi="Times New Roman" w:cs="Times New Roman"/>
          <w:sz w:val="24"/>
          <w:szCs w:val="24"/>
        </w:rPr>
        <w:t>1) размер платы за оказание услуг федеральными органами исполнительной власти, органами исполнительной власти Ханты-Мансийского автономного округа - Югры, федеральными государственными учреждениями и федеральными государственными унитарными предприятиями, учреждениями и унитарными предприятиями Ханты-Мансийского автономного округа - Югры устанавливается в соответствии с федеральными законами, иными нормативными правовыми актами Российской Федерации, нормативными правовыми актами Ханты-Мансийского автономного округа - Югры;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bookmarkStart w:id="1" w:name="Par26"/>
      <w:bookmarkEnd w:id="1"/>
      <w:r>
        <w:rPr>
          <w:rFonts w:hint="default" w:ascii="Times New Roman" w:hAnsi="Times New Roman" w:cs="Times New Roman"/>
          <w:sz w:val="24"/>
          <w:szCs w:val="24"/>
        </w:rPr>
        <w:t>2) размер платы за оказание услуг муниципальными предприятиями и учреждениями Белоярского района устанавливается в соответствии с муниципальными правовыми актами Белоярского района, регулирующими порядок установления тарифов на услуги, предоставляемые муниципальными предприятиями и учреждениями на территории Белоярского района;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размер платы за оказание услуг, оказываемых организациями независимо от организационно-правовой формы, не указанных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Par25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подпунктах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\l Par26 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2 пункта 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решения, индивидуальными предпринимателями и уполномоченными в соответствии с законодательством Российской Федерации экспертами, устанавливается исполнителем самостоятельно с учетом окупаемости затрат на их оказание, рентабельности работы, уплаты налогов и сборов в соответствии с действующим законодательством Российской Федерации.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(пп. 3 в ред.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consultantplus://offline/ref=65585879F01739A1F2AFA671B21A14C84A9EEEC3C4CEAA408268B384F283CF2FE92649B416A99A103E4F258CF496ACD5E2CC17AC855A7F06ADA08A4Ch1F1L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решения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18.05.2021 N 24)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Опубликовать настоящее решение в газете "Белоярские вести. Официальный выпуск".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Настоящее решение вступает в силу после его официального опубликования.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Утвержден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решением Думы 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29 июня 2011 года N 177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bookmarkStart w:id="2" w:name="Par43"/>
      <w:bookmarkEnd w:id="2"/>
      <w:r>
        <w:rPr>
          <w:rFonts w:hint="default" w:ascii="Times New Roman" w:hAnsi="Times New Roman" w:cs="Times New Roman"/>
          <w:b/>
          <w:sz w:val="24"/>
          <w:szCs w:val="24"/>
        </w:rPr>
        <w:t>ПЕРЕЧЕНЬ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УСЛУГ, КОТОРЫЕ ЯВЛЯЮТСЯ НЕОБХОДИМЫМИ И ОБЯЗАТЕЛЬНЫМИ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ДЛЯ ПРЕДОСТАВЛЕНИЯ ОРГАНАМИ МЕСТНОГО САМОУПРАВЛЕНИЯ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БЕЛОЯРСКОГО РАЙОНА МУНИЦИПАЛЬНЫХ УСЛУГ И ПРЕДОСТАВЛЯЮТСЯ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ОРГАНИЗАЦИЯМИ И УПОЛНОМОЧЕННЫМИ В СООТВЕТСТВИИ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 ЗАКОНОДАТЕЛЬСТВОМ РОССИЙСКОЙ ФЕДЕРАЦИИ ЭКСПЕРТАМИ,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УЧАСТВУЮЩИМИ В ПРЕДОСТАВЛЕНИИ МУНИЦИПАЛЬНЫХ УСЛУГ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(в ред. решений Думы Белоярского района от 18.01.2017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consultantplus://offline/ref=65585879F01739A1F2AFA671B21A14C84A9EEEC3C7C9AF418E63B384F283CF2FE92649B416A99A103E4F258DF396ACD5E2CC17AC855A7F06ADA08A4Ch1F1L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10.02.2017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consultantplus://offline/ref=65585879F01739A1F2AFA671B21A14C84A9EEEC3C7C9AE468D62B384F283CF2FE92649B416A99A103E4F258DF396ACD5E2CC17AC855A7F06ADA08A4Ch1F1L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7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14.02.2018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consultantplus://offline/ref=65585879F01739A1F2AFA671B21A14C84A9EEEC3C7CBA1408D6BB384F283CF2FE92649B416A99A103E4F258DF396ACD5E2CC17AC855A7F06ADA08A4Ch1F1L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11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, от 23.10.2019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consultantplus://offline/ref=65585879F01739A1F2AFA671B21A14C84A9EEEC3C4CDA8408A62B384F283CF2FE92649B416A99A103E4F258DF396ACD5E2CC17AC855A7F06ADA08A4Ch1F1L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55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 xml:space="preserve">от 18.05.2021 </w: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instrText xml:space="preserve">HYPERLINK consultantplus://offline/ref=65585879F01739A1F2AFA671B21A14C84A9EEEC3C4CEAA408268B384F283CF2FE92649B416A99A103E4F258CF296ACD5E2CC17AC855A7F06ADA08A4Ch1F1L </w:instrText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t>N 24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769"/>
        <w:gridCol w:w="5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муниципальной услуги, в рамках которой предоставляется услуга, являющаяся необходимой и обязательной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услуги, которая является необходимой и обязательной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9319" w:type="dxa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1 - 2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помещений в многоквартирном доме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в установленном порядке проекта переустройства и (или) перепланировки переустраиваемого и (или) перепланируемого помещений в многоквартирном доме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в установленном порядке проекта переустройства и (или) перепланировки переводимого помещения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проект реконструкции нежилого помещения - в отношении нежилого помещения для признания его в дальнейшем жилым помещением;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2.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3.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требованиям.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отношении нежилого помещения для признания его в дальнейшем жилым помещением - проект реконструкции нежилого помещения;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 по результатам обследования элементов ограждающих и несущих конструкций жилого помещения, - в случае, если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6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Предоставление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рамках реализации муниципальных программ развития малого и среднего предпринимательства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Выдача документов, содержащих сведения о реквизитах лицевого банковского счета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7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Выдача разрешений на установку и эксплуатацию рекламных конструкций, аннулирование таких разрешений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Выдача проекта рекламной конструкции, включающего в себя: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а) план размещения рекламной конструкции (ситуационный план), выполненный на топографической съемке М 1:500, для рекламных конструкций, устанавливаемых на земельном участке с обозначением места установки рекламной конструкции;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б) карту-схему предполагаемого места установки рекламной конструкции с привязкой в плане к ближайшему километровому столбу или капитальному сооружению и привязкой по высоте к поверхности проезжей части дороги или улицы;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в) чертеж несущей конструкции и фундамента (при наличии) рекламной конструкции с узлами крепления с указанием размеров, описанием конструктивных элементов и материалов, площади информационного поля;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г) схему рекламной конструкции в цвете с указанием размеров предлагаемых надписей;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д) схему расположения осветительных устройств с указанием параметров источников освещения, а также схему подводки электроэнергии;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е) световой режим работы рекламной конструкции, параметры световых и осветительных устройств;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ж) заключение уполномоченной на то организации о соответствии рекламной конструкции средств наружной рекламы, а также несущих конструкций их крепления, включая фундамент, техническим нормам;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з) сведения о производстве работ по установке рекламной конструкции, включая сведения о необходимости занятия проезжей части дороги или улицы, или полосы отвода дороги и необходимости временного закрытия или ограничения движения;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и) информацию о возможных звуковых сигналах, издаваемых рекламой, и их мощности;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к) цветные фотомонтажи рекламной конструкции, планируемой к установке, в городской среде с визуальных сторон размещения рекламного изображения на формате A4;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л) схему установки рекламной конструкции на фасаде здания, строения, сооружения, совмещенную с паспортом фасада здания, строения, сооружения, входящим в проектную документацию.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8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1. Подготовка и выдача документов, подтверждающих соответствие объекта техническим условиям;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2. Подготовка и 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 xml:space="preserve">Выдача разрешения на строительство (за исключением случаев, предусмотренных Градостроительным </w: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instrText xml:space="preserve">HYPERLINK consultantplus://offline/ref=65585879F01739A1F2AFB87CA47643C74896B7CECFC9A214D73FB5D3ADD3C97ABB6617ED54EF89103C51278DF4h9FEL </w:instrTex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t>кодексом</w:t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 xml:space="preserve">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Белоярского района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1. Подготовка проектной документации;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 xml:space="preserve">2. Проведение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instrText xml:space="preserve">HYPERLINK consultantplus://offline/ref=65585879F01739A1F2AFB87CA47643C74896B7CECFC9A214D73FB5D3ADD3C97AA9664FE451E59C456F0B7080F79FE685A48718AD85h4F7L </w:instrTex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t>частью 12.1 статьи 48</w:t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instrText xml:space="preserve">HYPERLINK consultantplus://offline/ref=65585879F01739A1F2AFB87CA47643C74896B7CECFC9A214D73FB5D3ADD3C97AA9664FE75DE49C456F0B7080F79FE685A48718AD85h4F7L </w:instrTex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t>статьей 49</w:t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 xml:space="preserve"> Градостроительного кодекса Российской Федерации; государственная экспертиза проектной документации в случаях, предусмотренных </w: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instrText xml:space="preserve">HYPERLINK consultantplus://offline/ref=65585879F01739A1F2AFB87CA47643C74896B7CECFC9A214D73FB5D3ADD3C97AA9664FE157EA941A6A1E61D8FB9CFA9AA79B04AF8746h7FDL </w:instrTex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t>частью 3.4 статьи 49</w:t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 xml:space="preserve"> Градостроительного кодекса Российской Федерации;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 xml:space="preserve">3. Проведение государственной экологической экспертизы проектной документации в случаях, предусмотренных </w: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instrText xml:space="preserve">HYPERLINK consultantplus://offline/ref=65585879F01739A1F2AFB87CA47643C74896B7CECFC9A214D73FB5D3ADD3C97AA9664FE157EA921A6A1E61D8FB9CFA9AA79B04AF8746h7FDL </w:instrTex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t>частью 6 статьи 49</w:t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одготовк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проектной документации, заключенным с застройщиком, техническим заказчиком, лицом, ответственным за эксплуатацию здания, сооружения, региональным оператором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Экспертиза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HYPERLINK consultantplus://offline/ref=30E8AD512013EDC6A5C1ABC9F1407E7737F42D51B4FFF2693079C7E0D3FA5F37D4A259D4A67C07177DC972860DC73CC4E966546619J4j8E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частью 12.1 статьи 48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HYPERLINK consultantplus://offline/ref=30E8AD512013EDC6A5C1ABC9F1407E7737F42D51B4FFF2693079C7E0D3FA5F37D4A259D7AA7D07177DC972860DC73CC4E966546619J4j8E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статьей 49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Градостроительного кодекса Российской Федерации; государственная экспертиза проектной документации в случаях, предусмотренных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HYPERLINK consultantplus://offline/ref=30E8AD512013EDC6A5C1ABC9F1407E7737F42D51B4FFF2693079C7E0D3FA5F37D4A259D5A27407177DC972860DC73CC4E966546619J4j8E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частью 3.4 статьи 49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Градостроительного кодекса Российской Федерации; государственная экологическая экспертиза проектной документации в случаях, предусмотренных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HYPERLINK consultantplus://offline/ref=30E8AD512013EDC6A5C1ABC9F1407E7737F42D51B4FFF2693079C7E0D3FA5F37D4A259D1A3740A4878DC63DE01C420DBEA7A48641B49J1jFE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частью 6 статьи 49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>Организация отдыха детей в каникулярное время в части предоставления детям, проживающим в Белоярском районе, путевок в организации, обеспечивающие отдых и оздоровление детей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Организация отдыха и оздоровления детей в каникулярное время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t xml:space="preserve">Выдача медицинской справки на ребенка, отъезжающего в санаторный оздоровительный лагерь, по </w: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instrText xml:space="preserve">HYPERLINK consultantplus://offline/ref=65585879F01739A1F2AFB87CA47643C74F93B9CAC5CBA214D73FB5D3ADD3C97AA9664FE155EC95103E4471DCB2C8F585A4871BAF99467E06hBF0L </w:instrText>
            </w:r>
            <w:r>
              <w:rPr>
                <w:rFonts w:hint="default" w:ascii="Times New Roman" w:hAnsi="Times New Roman" w:cs="Times New Roman"/>
                <w:strike/>
                <w:dstrike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t>форме N 079/у</w:t>
            </w:r>
            <w:r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  <w:fldChar w:fldCharType="end"/>
            </w:r>
          </w:p>
          <w:p>
            <w:pPr>
              <w:spacing w:beforeLines="0" w:afterLines="0"/>
              <w:rPr>
                <w:rFonts w:hint="default" w:ascii="Times New Roman" w:hAnsi="Times New Roman" w:cs="Times New Roman"/>
                <w:strike/>
                <w:dstrike w:val="0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ыдача медицинской справки по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instrText xml:space="preserve">HYPERLINK consultantplus://offline/ref=D51E6FBD5D0099AA2CBB074F4E044CA2AB139CD8AC72BCF6430521BEADA3470C44391794CEC5B41E7BBB36EEF863B08AF53A9DDA41E11229IDvCF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форме N 079/у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медицинской организацией, имеющей лицензию на осуществление медицинской деятельности.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Выдача акта государственной историко-культурной экспертизы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Выдача разрешения на вступление в брак несовершеннолетнему лицу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Выдача медицинской организацией справки о беременности несовершеннолетней (выписка из медицинской документации пациента "Индивидуальная карта беременной и родильницы"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+ДОБАВИТЬ НОВЫЕ ПУНКТЫ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13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Направление уведомления о соответствии построенных или реконстру</w:t>
            </w:r>
            <w:bookmarkStart w:id="3" w:name="_GoBack"/>
            <w:bookmarkEnd w:id="3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одготовка технического плана объекта индивидуального жилого дома или садового дома, подготовленный в соответствии с требованиями Федерального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HYPERLINK consultantplus://offline/ref=49B3BB1EDC638A4DF464B2DE6A7AEB220335EF889BD59BF172E63E71DC3450E53F086A397AC87A828C9B38E614X2wBE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закона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от 13.07.2015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218-ФЗ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 государственном регистрации недвижимости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, осуществляется кадастровым инженером.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14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адастровые работы в целях осуществления государственного кадастрового учета земельного участка, который образуется в результате перераспределения, по результатам которых подготавливается межевой план;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осударственный кадастровый учет земельного участка,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существл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ение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оценк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движимого и недвижимого имущества.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16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ценк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движимого и недвижимого имущества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>
            <w:pPr>
              <w:numPr>
                <w:ilvl w:val="0"/>
                <w:numId w:val="1"/>
              </w:numPr>
              <w:spacing w:beforeLines="0" w:afterLines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ыдач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заключения врачебной комиссии учреждениями здравоохранения, в том числе амбулаторно-поликлиническими учреждениями, противотуберкулезными, психоневрологическими, онкологическими и кожно-венерологическими диспансерами с кодом заболевания, входящего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HYPERLINK consultantplus://offline/ref=AB742C8972E5B1506EF9EC58BB00642AB4F2D87521159728FC7E04A500DE5D7D6D4DA4580FEC13F11BDE246120FBFD822CE22263EC9891C7t1Z3F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перечень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тяжелых форм хронических заболеваний, при которых невозможно совместное проживание граждан в одной квартире, утвержденный приказом Министерства здравоохранения Российской Федерации от 29 ноября 2012 года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987н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Об утверждении перечня тяжелых форм хронических заболеваний, при которых невозможно совместное проживание граждан в одной квартире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17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Предоставление жилого помещения по договору социального найма в городском поселении Белоярский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ценк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движимого и недвижимого имущества.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18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Признание садового дома жилым домом и жилого дома садовым домом</w:t>
            </w:r>
          </w:p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аключени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instrText xml:space="preserve">HYPERLINK consultantplus://offline/ref=3750E038DF0B887E89B480245700B19F0CE08C0F2875EEFAA659EF9D149C0DB10F6F1E8291E819B870A31214E1176EBDFF250CE733BBD828C5rDF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частью 2 статьи 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instrText xml:space="preserve">HYPERLINK consultantplus://offline/ref=3750E038DF0B887E89B480245700B19F0CE08C0F2875EEFAA659EF9D149C0DB10F6F1E8291E819B97EA31214E1176EBDFF250CE733BBD828C5rDF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статьями 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instrText xml:space="preserve">HYPERLINK consultantplus://offline/ref=3750E038DF0B887E89B480245700B19F0CE08C0F2875EEFAA659EF9D149C0DB10F6F1E8291E818B072A31214E1176EBDFF250CE733BBD828C5rDF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instrText xml:space="preserve">HYPERLINK consultantplus://offline/ref=3750E038DF0B887E89B480245700B19F0CE08C0F2875EEFAA659EF9D149C0DB10F6F1E8291E818B171A31214E1176EBDFF250CE733BBD828C5rDF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Федерального закона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Технический регламент о безопасности зданий и сооружений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.</w:t>
            </w:r>
          </w:p>
        </w:tc>
      </w:tr>
    </w:tbl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(п. 12 введен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consultantplus://offline/ref=65585879F01739A1F2AFA671B21A14C84A9EEEC3C4CDA8408A62B384F283CF2FE92649B416A99A103E4F258CFE96ACD5E2CC17AC855A7F06ADA08A4Ch1F1L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23.10.2019 N 55)</w:t>
      </w:r>
    </w:p>
    <w:p>
      <w:pPr>
        <w:spacing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Абзац утратил силу. -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consultantplus://offline/ref=65585879F01739A1F2AFA671B21A14C84A9EEEC3C4CEAA408268B384F283CF2FE92649B416A99A103E4F258CF196ACD5E2CC17AC855A7F06ADA08A4Ch1F1L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Думы Белоярского района от 18.05.2021 N 24: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Заявитель, помимо документов, указанных в настоящем Перечне, самостоятельно представляет документы, имеющиеся в распоряжении заявителя и полученные им в результате ранее оказанных ему государственных и муниципальных услуг согласно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consultantplus://offline/ref=65585879F01739A1F2AFB87CA47643C74890B3CDC7CEA214D73FB5D3ADD3C97AA9664FE456E6C3407A1A288CF483F986B89B1AAFh8F4L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пункту 6 статьи 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Российской Федерации от 27 июля 2010 года N 210-ФЗ "Об организации предоставления государственных и муниципальных услуг".</w:t>
      </w:r>
    </w:p>
    <w:p>
      <w:pPr>
        <w:spacing w:before="160" w:beforeLines="0" w:afterLines="0"/>
        <w:ind w:firstLine="5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В случае, если нормативными правовыми актами Российской Федерации, Ханты-Мансийского автономного округа - Югры, муниципальными правовыми актами предусмотрена обязанность заявителя предоставить копию документа, копия предоставляется заявителем самостоятельно, за счет собственных средств.</w:t>
      </w: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10297"/>
    <w:multiLevelType w:val="singleLevel"/>
    <w:tmpl w:val="AFE102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21E1C27"/>
    <w:rsid w:val="499A12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16"/>
      <w:szCs w:val="24"/>
    </w:rPr>
  </w:style>
  <w:style w:type="paragraph" w:customStyle="1" w:styleId="5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6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sz w:val="16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2023-12-12T11:05:34Z</dcterms:created>
  <dc:creator>YagodkaYV</dc:creator>
  <cp:lastModifiedBy>YagodkaYV</cp:lastModifiedBy>
  <dcterms:modified xsi:type="dcterms:W3CDTF">2023-12-12T11:15:23Z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B7B83AD6019F4EBD9838ECCFF71C87BC_13</vt:lpwstr>
  </property>
</Properties>
</file>