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zh-CN"/>
        </w:rPr>
        <w:t>Аналитическая записка</w:t>
      </w:r>
    </w:p>
    <w:p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zh-CN"/>
        </w:rPr>
        <w:t>о результатах оценки эффективности предоставленных налоговых расходов Белоярского района за 202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zh-CN"/>
        </w:rPr>
        <w:t xml:space="preserve"> год</w:t>
      </w:r>
    </w:p>
    <w:p>
      <w:pPr>
        <w:suppressAutoHyphens/>
        <w:spacing w:after="0" w:line="240" w:lineRule="auto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  <w:lang w:eastAsia="zh-CN"/>
        </w:rPr>
      </w:pPr>
    </w:p>
    <w:p>
      <w:pPr>
        <w:suppressAutoHyphens/>
        <w:spacing w:after="0" w:line="240" w:lineRule="auto"/>
        <w:ind w:firstLine="851"/>
        <w:jc w:val="both"/>
        <w:rPr>
          <w:rFonts w:ascii="Times New Roman" w:hAnsi="Times New Roman" w:eastAsia="Calibri" w:cs="Times New Roman"/>
          <w:b/>
          <w:sz w:val="24"/>
          <w:szCs w:val="24"/>
          <w:lang w:eastAsia="zh-CN"/>
        </w:rPr>
      </w:pPr>
    </w:p>
    <w:p>
      <w:pPr>
        <w:suppressAutoHyphens/>
        <w:spacing w:after="0" w:line="240" w:lineRule="auto"/>
        <w:ind w:firstLine="660" w:firstLineChars="27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Оценка эффективности предоставленных налоговых расходов Белоярского района  (далее - района) за 202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год проведена в соответствии с Порядком, утверждённым постановлением администрации Белоярского района от 20 августа 2020 года № 738 «Об утверждении Порядка оценки налоговых расходов Белоярского района и поселений в границах Белоярского района». Направлена на оптимизацию перечня налоговых преференций, установленных нормативными правовыми актами представительных органов местного самоуправления района по налогам и сборам, обеспечение оптимального выбора объектов для предоставления государственной (муниципальной) поддержки в виде данных налоговых преференций.</w:t>
      </w:r>
    </w:p>
    <w:p>
      <w:pPr>
        <w:suppressAutoHyphens/>
        <w:spacing w:after="0" w:line="240" w:lineRule="auto"/>
        <w:ind w:firstLine="660" w:firstLineChars="27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Перечень налоговых расходов района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(далее - Перечень) сформирован Комитетом по финансам и налоговой политике администрации Белоярского района в соответствии с Порядком, утверждённым постановлением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района».</w:t>
      </w:r>
    </w:p>
    <w:p>
      <w:pPr>
        <w:suppressAutoHyphens/>
        <w:spacing w:after="0" w:line="240" w:lineRule="auto"/>
        <w:ind w:firstLine="660" w:firstLineChars="27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В Перечень включено 9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zh-CN"/>
        </w:rPr>
        <w:t xml:space="preserve"> видов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налоговых расходов, обусловленных льготами, пониженными ставками и иными преференциями по местным налогам (земельный налог, налог на имущество физических лиц). Налоговые расходы соответствуют целям 5 муниципальных программ Белоярского района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zh-CN"/>
        </w:rPr>
        <w:t xml:space="preserve"> и 1 цели Стратегии социально-экономического развития Белоярского района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. </w:t>
      </w:r>
    </w:p>
    <w:p>
      <w:pPr>
        <w:suppressAutoHyphens/>
        <w:spacing w:after="0" w:line="240" w:lineRule="auto"/>
        <w:ind w:firstLine="660" w:firstLineChars="27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Определены типы налоговых расходов в зависимости от целевой категории: стимулирующие, социальные и технические.</w:t>
      </w:r>
    </w:p>
    <w:p>
      <w:pPr>
        <w:suppressAutoHyphens/>
        <w:spacing w:after="0" w:line="240" w:lineRule="auto"/>
        <w:ind w:firstLine="660" w:firstLineChars="275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Оценка эффективности предоставленных налоговых расходов проведена кураторами налоговых расходов района, на основе результатов которых подготовлена настоящая Аналитическая записка и сводный отчет об оценке эффективности предоставленных налоговых расходов района за 202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год (приложение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zh-CN"/>
        </w:rPr>
        <w:t xml:space="preserve"> 2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к аналитической записке).</w:t>
      </w:r>
    </w:p>
    <w:p>
      <w:pPr>
        <w:suppressAutoHyphens/>
        <w:spacing w:after="0" w:line="240" w:lineRule="auto"/>
        <w:ind w:firstLine="851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Информация о структуре и динамике налоговых расходов района по видам налогов за 20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zh-CN"/>
        </w:rPr>
        <w:t>20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– 202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годы представлена в таблице 1. </w:t>
      </w:r>
    </w:p>
    <w:p>
      <w:pPr>
        <w:widowControl w:val="0"/>
        <w:suppressAutoHyphens/>
        <w:autoSpaceDE w:val="0"/>
        <w:spacing w:after="0" w:line="240" w:lineRule="auto"/>
        <w:ind w:firstLine="709"/>
        <w:jc w:val="right"/>
        <w:textAlignment w:val="baseline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>Таблица 1</w:t>
      </w:r>
    </w:p>
    <w:p>
      <w:pPr>
        <w:widowControl w:val="0"/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Calibri" w:cs="Times New Roman"/>
          <w:sz w:val="24"/>
          <w:szCs w:val="24"/>
          <w:lang w:eastAsia="zh-CN"/>
        </w:rPr>
      </w:pPr>
    </w:p>
    <w:p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zh-CN"/>
        </w:rPr>
        <w:t xml:space="preserve">Структура и динамика налоговых расходов по видам налогов  </w:t>
      </w:r>
    </w:p>
    <w:p>
      <w:pPr>
        <w:widowControl w:val="0"/>
        <w:suppressAutoHyphens/>
        <w:autoSpaceDE w:val="0"/>
        <w:spacing w:after="0" w:line="240" w:lineRule="auto"/>
        <w:jc w:val="center"/>
        <w:textAlignment w:val="baseline"/>
        <w:rPr>
          <w:rFonts w:ascii="Times New Roman" w:hAnsi="Times New Roman" w:eastAsia="Calibri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zh-CN"/>
        </w:rPr>
        <w:t>за 20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 w:eastAsia="zh-CN"/>
        </w:rPr>
        <w:t>20</w:t>
      </w:r>
      <w:r>
        <w:rPr>
          <w:rFonts w:ascii="Times New Roman" w:hAnsi="Times New Roman" w:eastAsia="Calibri" w:cs="Times New Roman"/>
          <w:b/>
          <w:sz w:val="24"/>
          <w:szCs w:val="24"/>
          <w:lang w:eastAsia="zh-CN"/>
        </w:rPr>
        <w:t xml:space="preserve"> – 202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 w:eastAsia="zh-CN"/>
        </w:rPr>
        <w:t>2</w:t>
      </w:r>
      <w:r>
        <w:rPr>
          <w:rFonts w:ascii="Times New Roman" w:hAnsi="Times New Roman" w:eastAsia="Calibri" w:cs="Times New Roman"/>
          <w:b/>
          <w:sz w:val="24"/>
          <w:szCs w:val="24"/>
          <w:lang w:eastAsia="zh-CN"/>
        </w:rPr>
        <w:t xml:space="preserve"> годы</w:t>
      </w:r>
    </w:p>
    <w:p>
      <w:pPr>
        <w:widowControl w:val="0"/>
        <w:suppressAutoHyphens/>
        <w:autoSpaceDE w:val="0"/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kern w:val="2"/>
          <w:sz w:val="20"/>
          <w:szCs w:val="20"/>
          <w:lang w:eastAsia="zh-CN"/>
        </w:rPr>
        <w:t>(тыс.рублей)</w:t>
      </w:r>
    </w:p>
    <w:tbl>
      <w:tblPr>
        <w:tblStyle w:val="3"/>
        <w:tblW w:w="984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99"/>
        <w:gridCol w:w="1367"/>
        <w:gridCol w:w="1645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>Наименование показателей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>2020 год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highlight w:val="none"/>
                <w:lang w:val="ru-RU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highlight w:val="none"/>
                <w:lang w:eastAsia="zh-CN"/>
              </w:rPr>
              <w:t xml:space="preserve"> год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highlight w:val="none"/>
                <w:lang w:eastAsia="zh-CN"/>
              </w:rPr>
              <w:t xml:space="preserve"> год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  <w:t>Объем налоговых и неналоговых доходов бюджета Белоярского района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859 901,5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highlight w:val="none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highlight w:val="none"/>
                <w:lang w:val="ru-RU" w:eastAsia="zh-CN"/>
              </w:rPr>
              <w:t>806 501,5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highlight w:val="none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highlight w:val="none"/>
                <w:lang w:val="ru-RU" w:eastAsia="zh-CN"/>
              </w:rPr>
              <w:t>901 780,2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Налоговые расходы, обусловленные льготами, пониженными ставками и иными преференциями, установленными муниципальными правовыми актами представительного органа Белоярского района по налогам и сборам, всего: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6 150,0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 xml:space="preserve"> 1.2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65,0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В процентах к объему налоговых и неналоговых доходов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0,7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 xml:space="preserve">Поступления по  земельному налогу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-17,8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21,2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Выпадающие доходы, обусловленные предоставленными преференциями в соответствии с решением Думы Белоярского района от 22.10.2010 года № 84 «О земельном налоге на межселенной территории Белоярского района»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В процентах к поступлению по земельному налогу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 xml:space="preserve">Поступления по налогу на имущество физических лиц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14,3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 xml:space="preserve">Выпадающие доходы, обусловленные предоставленными преференциями в соответствии с решением Думы Белоярского района от 29.10.2014 года № 486 «Об утверждении Положения о налоге на имущество физических лиц на межселенной территории Белоярского района»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В процентах к поступлению по налогу на имущество физических лиц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Поступления по единому налогу на вмененный доход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13 555,1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/>
              </w:rPr>
              <w:t>5 427,2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ru-RU" w:eastAsia="zh-CN"/>
              </w:rPr>
              <w:t>519,5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Выпадающие доходы, обусловленные предоставленными преференциями в соответствии с решением Думы Белоярского района от 18.11.2005 года № 131 «О введении в действие системы налогообложения в виде единого налога на вмененный доход для отдельных видов деятельности на территории Белоярского района»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6 150,0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65,0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 xml:space="preserve">В процентах к поступлению единого налога на вменный доход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45,4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</w:tbl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</w:p>
    <w:p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</w:p>
    <w:p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Информация о структуре типов налоговых расходов района за период 20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en-US" w:eastAsia="zh-CN"/>
        </w:rPr>
        <w:t>20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– 202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годов представлена в таблице 2.</w:t>
      </w:r>
    </w:p>
    <w:p>
      <w:pPr>
        <w:widowControl w:val="0"/>
        <w:suppressAutoHyphens/>
        <w:spacing w:after="0" w:line="240" w:lineRule="auto"/>
        <w:ind w:firstLine="709"/>
        <w:jc w:val="right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Таблица 2</w:t>
      </w:r>
    </w:p>
    <w:p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val="ru-RU" w:eastAsia="zh-CN"/>
        </w:rPr>
      </w:pPr>
    </w:p>
    <w:p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val="ru-RU" w:eastAsia="zh-CN"/>
        </w:rPr>
      </w:pPr>
    </w:p>
    <w:p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val="ru-RU" w:eastAsia="zh-CN"/>
        </w:rPr>
        <w:t>С</w:t>
      </w: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  <w:t>труктура типов налоговых расходов за период 20</w:t>
      </w:r>
      <w:r>
        <w:rPr>
          <w:rFonts w:hint="default" w:ascii="Times New Roman" w:hAnsi="Times New Roman" w:eastAsia="Times New Roman" w:cs="Times New Roman"/>
          <w:b/>
          <w:kern w:val="2"/>
          <w:sz w:val="24"/>
          <w:szCs w:val="24"/>
          <w:lang w:val="en-US" w:eastAsia="zh-CN"/>
        </w:rPr>
        <w:t>20</w:t>
      </w: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  <w:t xml:space="preserve"> – 202</w:t>
      </w:r>
      <w:r>
        <w:rPr>
          <w:rFonts w:hint="default" w:ascii="Times New Roman" w:hAnsi="Times New Roman" w:eastAsia="Times New Roman" w:cs="Times New Roman"/>
          <w:b/>
          <w:kern w:val="2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  <w:t xml:space="preserve"> годов</w:t>
      </w:r>
    </w:p>
    <w:p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2"/>
          <w:sz w:val="32"/>
          <w:szCs w:val="32"/>
          <w:lang w:eastAsia="zh-CN"/>
        </w:rPr>
      </w:pPr>
    </w:p>
    <w:tbl>
      <w:tblPr>
        <w:tblStyle w:val="3"/>
        <w:tblW w:w="984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1276"/>
        <w:gridCol w:w="708"/>
        <w:gridCol w:w="1276"/>
        <w:gridCol w:w="709"/>
        <w:gridCol w:w="1134"/>
        <w:gridCol w:w="1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Наименование показателей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2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год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тыс. рублей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тыс. рублей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тыс. рублей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  <w:t>Предоставленные налоговые расходы в соответствии с муниципальными правовыми актами представительного органа Белоярского района по налогам и сборам, всего: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6 150,0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0,0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  <w:t>в том числе: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65,0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  <w:t>Стимулирующие налоговые расходы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6 150,0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24"/>
                <w:szCs w:val="24"/>
                <w:lang w:val="ru-RU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  <w:t>темп роста (снижения) к предыдущему году, %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65,0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  <w:t>Технические налоговые расходы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  <w:t>темп роста (снижения) к предыдущему году, %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  <w:t>Социальные налоговые расходы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zh-CN"/>
              </w:rPr>
              <w:t>темп роста (снижения) к предыдущему году, %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</w:tr>
    </w:tbl>
    <w:p>
      <w:pPr>
        <w:widowControl w:val="0"/>
        <w:tabs>
          <w:tab w:val="left" w:pos="709"/>
          <w:tab w:val="left" w:pos="189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</w:p>
    <w:p>
      <w:pPr>
        <w:suppressAutoHyphens/>
        <w:spacing w:after="0" w:line="240" w:lineRule="auto"/>
        <w:ind w:firstLine="851"/>
        <w:jc w:val="both"/>
        <w:rPr>
          <w:rFonts w:hint="default" w:ascii="Times New Roman" w:hAnsi="Times New Roman" w:eastAsia="Calibri" w:cs="Times New Roman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Весь объем налоговых расходов 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в 20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- 202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году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приходится на преференции, направленные на стимулирование экономической активности субъектов предпринимательской деятельности.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В 202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году налоговые льготы не предоставлялись в связи с отсутствием заявителей на льготы по местным налогам.</w:t>
      </w:r>
    </w:p>
    <w:p>
      <w:pPr>
        <w:widowControl w:val="0"/>
        <w:tabs>
          <w:tab w:val="left" w:pos="709"/>
          <w:tab w:val="left" w:pos="189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8"/>
          <w:szCs w:val="28"/>
          <w:lang w:eastAsia="zh-CN"/>
        </w:rPr>
      </w:pPr>
    </w:p>
    <w:p>
      <w:pPr>
        <w:widowControl w:val="0"/>
        <w:tabs>
          <w:tab w:val="left" w:pos="426"/>
        </w:tabs>
        <w:suppressAutoHyphens/>
        <w:autoSpaceDE w:val="0"/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b/>
          <w:bCs/>
          <w:kern w:val="2"/>
          <w:sz w:val="24"/>
          <w:szCs w:val="24"/>
        </w:rPr>
        <w:t>1. Эффективность налоговых расходов по земельному налогу</w:t>
      </w:r>
    </w:p>
    <w:p>
      <w:pPr>
        <w:widowControl w:val="0"/>
        <w:tabs>
          <w:tab w:val="left" w:pos="426"/>
        </w:tabs>
        <w:suppressAutoHyphens/>
        <w:autoSpaceDE w:val="0"/>
        <w:spacing w:after="0" w:line="240" w:lineRule="auto"/>
        <w:contextualSpacing/>
        <w:jc w:val="center"/>
        <w:textAlignment w:val="baseline"/>
        <w:rPr>
          <w:rFonts w:ascii="Times New Roman" w:hAnsi="Times New Roman" w:eastAsia="Calibri" w:cs="Times New Roman"/>
          <w:b/>
          <w:bCs/>
          <w:kern w:val="2"/>
          <w:sz w:val="28"/>
          <w:szCs w:val="28"/>
        </w:rPr>
      </w:pPr>
    </w:p>
    <w:p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В соответствии с решением Думы Белоярского района от 22.10.2010 года № 84 «О земельном налоге на межселенной территории Белоярского района» налоговые расходы представлены в виде налоговых льгот для отдельных категорий физических и юридических лиц.</w:t>
      </w: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Оценка эффективности проведена кураторами налоговых расходов по 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6 видам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налоговым расходам (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2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стимулирующ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им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, 2 техническим и 2 социальным), распределенным по 4 муниципальным программам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в соответствии с показателями достижения целей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и одному виду непрограмных налоговых расходов, отвечающему целям социально-экономического развития Белоярского района (таблица 1 приложения 1 к аналитической справке).</w:t>
      </w: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</w:p>
    <w:p>
      <w:pPr>
        <w:widowControl w:val="0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i/>
          <w:kern w:val="2"/>
          <w:sz w:val="24"/>
          <w:szCs w:val="24"/>
          <w:lang w:eastAsia="zh-CN"/>
        </w:rPr>
        <w:t>В муниципальную программу Белоярского района «Управление муниципальными финансами в Белоярском районе»,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ответственным исполнителем которой является Комитет по финансам и налоговой политике администрации Белоярского района включены 2 технических налоговых расхода, которые соответствуют цели муниципальной программы: «Повышение качества управления муниципальными финансами, обеспечение финансовой устойчивости и долгосрочной сбалансированности бюджетной системы Белоярского района»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, в том числе:</w:t>
      </w:r>
    </w:p>
    <w:p>
      <w:pPr>
        <w:widowControl w:val="0"/>
        <w:numPr>
          <w:ilvl w:val="0"/>
          <w:numId w:val="0"/>
        </w:numPr>
        <w:tabs>
          <w:tab w:val="left" w:pos="1276"/>
        </w:tabs>
        <w:suppressAutoHyphens/>
        <w:spacing w:after="0" w:line="240" w:lineRule="auto"/>
        <w:ind w:left="0" w:leftChars="0" w:firstLine="660" w:firstLineChars="275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- освобождение от уплаты земельного налога органов местного самоуправления;</w:t>
      </w:r>
    </w:p>
    <w:p>
      <w:pPr>
        <w:widowControl w:val="0"/>
        <w:numPr>
          <w:ilvl w:val="0"/>
          <w:numId w:val="0"/>
        </w:numPr>
        <w:tabs>
          <w:tab w:val="left" w:pos="1276"/>
        </w:tabs>
        <w:suppressAutoHyphens/>
        <w:spacing w:after="0" w:line="240" w:lineRule="auto"/>
        <w:ind w:left="0" w:leftChars="0" w:firstLine="660" w:firstLineChars="275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- освобождение от уплаты земельного налога муниципальных учреждений Белоярского района.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Налоговые расходы за 5-летний период не были востребованы плательщиками. В тоже время потенциальными получателями налоговых льгот, установленных для органов местного самоуправления и муниципальных учреждений Белоярского района являются 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                                   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highlight w:val="none"/>
          <w:lang w:val="ru-RU" w:eastAsia="zh-CN"/>
        </w:rPr>
        <w:t>33</w:t>
      </w:r>
      <w:r>
        <w:rPr>
          <w:rFonts w:ascii="Times New Roman" w:hAnsi="Times New Roman" w:eastAsia="Times New Roman" w:cs="Times New Roman"/>
          <w:kern w:val="2"/>
          <w:sz w:val="24"/>
          <w:szCs w:val="24"/>
          <w:highlight w:val="none"/>
          <w:lang w:eastAsia="zh-CN"/>
        </w:rPr>
        <w:t xml:space="preserve"> налогоплательщик</w:t>
      </w:r>
      <w:r>
        <w:rPr>
          <w:rFonts w:ascii="Times New Roman" w:hAnsi="Times New Roman" w:eastAsia="Times New Roman" w:cs="Times New Roman"/>
          <w:kern w:val="2"/>
          <w:sz w:val="24"/>
          <w:szCs w:val="24"/>
          <w:highlight w:val="none"/>
          <w:lang w:val="ru-RU" w:eastAsia="zh-CN"/>
        </w:rPr>
        <w:t>а</w:t>
      </w:r>
      <w:r>
        <w:rPr>
          <w:rFonts w:ascii="Times New Roman" w:hAnsi="Times New Roman" w:eastAsia="Times New Roman" w:cs="Times New Roman"/>
          <w:kern w:val="2"/>
          <w:sz w:val="24"/>
          <w:szCs w:val="24"/>
          <w:highlight w:val="none"/>
          <w:lang w:eastAsia="zh-CN"/>
        </w:rPr>
        <w:t>.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Куратор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о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м налоговых расходов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(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Комитет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ом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по финансам и налоговой политике администрации Белоярского района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)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предложено сохранить льготы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, так как они направлены на исключение встречных финансовых потоков , оптимизацию бюджетных расходов.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kern w:val="2"/>
          <w:sz w:val="24"/>
          <w:szCs w:val="24"/>
          <w:lang w:eastAsia="zh-CN"/>
        </w:rPr>
        <w:t xml:space="preserve">2. В муниципальную программу Белоярского района «Развитие социальной политики на территории Белоярского района»,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ответственным исполнителем которой является Управление по охране труда и социальной политики администрации Белоярского района включены 2 социальных налоговых расхода, которые соответствуют целям муниципальной программы, в том числе: 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«Социальная поддержка отдельных категорий граждан, повышение качества жизни жителей Белоярского района»;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«Создание условий для развития институтов гражданского общества и реализация гражданских инициатив».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Налоговые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льготы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не были востребованы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социально ориентированными некоммерческими организациями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,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ветеранами и инвалидами Великой Отечественной войны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более чем за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5-летний период.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У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читывая необходимость развития некоммерческого сектора экономики, предоставляющего, в том числе услуги социального характера, институтов гражданского общества, использования потенциала социально ориентированных некоммерческих организаций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,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поддержку социально-незащищенных слоев населения, куратором налоговых расходов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(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Управление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м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по охране труда и социальной политики администрации Белоярского района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)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предлагается сохранить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данные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налоговые расходы.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kern w:val="2"/>
          <w:sz w:val="24"/>
          <w:szCs w:val="24"/>
          <w:lang w:eastAsia="zh-CN"/>
        </w:rPr>
        <w:t xml:space="preserve">3. В муниципальную программу Белоярского района «Обеспечение доступным и комфортным жильем жителей Белоярского района»,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ответственным исполнителем которой является Управление по архитектуре и градостроительству администрации Белоярского района, включен 1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вид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налогов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ого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расход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а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стимулирующего характера «Освобождение от уплаты налога организаций и индивидуальных предпринимателей, в отношении земельных участков, используемых для реализации инвестиционных проектов на межселенной территории Белоярского района, включенных в Реестр приоритетных инвестиционных проектов Ханты-Мансийского автономного округа - Югры, на плановый срок реализации инвестиционного проекта».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Данный налоговый расход  соответствует цели муниципальной программы: «Создание на территории Белоярского района благоприятного инвестиционного климата, развития конкуренции». Вступил в силу с 1 января 2021 года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, в отчетном году не был востребован в виду отсутствия заявителей. С целью создания благоприятного инвестиционного климата на территории Белоярского района куратором предлагается сохранить налоговый расход. 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kern w:val="2"/>
          <w:sz w:val="24"/>
          <w:szCs w:val="24"/>
          <w:lang w:eastAsia="zh-CN"/>
        </w:rPr>
        <w:t xml:space="preserve">4. В муниципальную программу Белоярского района «Развитие агропромышленного комплекса»,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ответственным исполнителем которой является Управление природопользования, сельского хозяйства и развития предпринимательства администрации Белоярского района, включен 1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вид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налогов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ого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расход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а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стимулирующего характера «Установление пониженной ставки по налогу с целью поддержки сельскохозяйственных производителей».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Данный налоговый расход  соответствует цели муниципальной программы: «Оказание поддержки сельскохозяйственным производителям».</w:t>
      </w:r>
      <w: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На протяжении 5-ти лет налоговый расход не был востребован плательщиками налога. Учитывая, что представленный налоговый расход является дополнительны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м механизмом государственной (муниципальной) поддержки организаций, занимающихся выращиванием сельскохозяйственных культур на территории Белоярского района, куратором налогового расхода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(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Управление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м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природопользования, сельского хозяйства и развития предпринимательства администрации Белоярского района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)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предлагается сохранить данную налоговую льготу.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</w:p>
    <w:p>
      <w:pPr>
        <w:widowControl w:val="0"/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С 1 января 2022 года в Перечень включен новый налоговый расход по земельному налогу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стимулирующего характера </w:t>
      </w:r>
      <w:r>
        <w:rPr>
          <w:rFonts w:hint="default" w:ascii="Times New Roman" w:hAnsi="Times New Roman" w:eastAsia="Times New Roman" w:cs="Times New Roman"/>
          <w:i/>
          <w:iCs/>
          <w:kern w:val="2"/>
          <w:sz w:val="24"/>
          <w:szCs w:val="24"/>
          <w:lang w:val="ru-RU" w:eastAsia="zh-CN"/>
        </w:rPr>
        <w:t>«</w:t>
      </w:r>
      <w:r>
        <w:rPr>
          <w:rFonts w:hint="default" w:ascii="Times New Roman" w:hAnsi="Times New Roman" w:eastAsia="Times New Roman"/>
          <w:i/>
          <w:iCs/>
          <w:kern w:val="2"/>
          <w:sz w:val="24"/>
          <w:szCs w:val="24"/>
          <w:lang w:eastAsia="zh-CN"/>
        </w:rPr>
        <w:t>Установление пониженной ставки для владельцев земельных участков, предназначенных для обеспечения деятельности организаций и (или) объектов связи, радиовещания, телевидения, информатики</w:t>
      </w:r>
      <w:r>
        <w:rPr>
          <w:rFonts w:hint="default" w:ascii="Times New Roman" w:hAnsi="Times New Roman" w:eastAsia="Times New Roman"/>
          <w:i/>
          <w:iCs/>
          <w:kern w:val="2"/>
          <w:sz w:val="24"/>
          <w:szCs w:val="24"/>
          <w:lang w:val="ru-RU" w:eastAsia="zh-CN"/>
        </w:rPr>
        <w:t>».</w:t>
      </w:r>
    </w:p>
    <w:p>
      <w:pPr>
        <w:widowControl w:val="0"/>
        <w:numPr>
          <w:ilvl w:val="0"/>
          <w:numId w:val="0"/>
        </w:numPr>
        <w:tabs>
          <w:tab w:val="left" w:pos="1276"/>
        </w:tabs>
        <w:suppressAutoHyphens/>
        <w:spacing w:after="0" w:line="240" w:lineRule="auto"/>
        <w:ind w:left="0" w:leftChars="0" w:firstLine="660" w:firstLineChars="275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Данный налоговый расход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установлен на территории района в соответствии с </w:t>
      </w:r>
      <w:r>
        <w:rPr>
          <w:rFonts w:hint="default" w:ascii="Times New Roman" w:hAnsi="Times New Roman" w:eastAsia="Times New Roman"/>
          <w:kern w:val="2"/>
          <w:sz w:val="24"/>
          <w:szCs w:val="24"/>
          <w:lang w:val="ru-RU" w:eastAsia="zh-CN"/>
        </w:rPr>
        <w:t>Указом Президента Российской Федерации от 2 марта 2022 года № 83 «О мерах по обеспечению ускоренного развития отрасли информационных технологий в Российской Федерации» с целью обеспечения ускоренного развития отрасли информационных технологий в Российской Федерации. Налоговая льгота 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оответствует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одной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из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цел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ей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Times New Roman"/>
          <w:kern w:val="2"/>
          <w:sz w:val="24"/>
          <w:szCs w:val="24"/>
          <w:lang w:eastAsia="zh-CN"/>
        </w:rPr>
        <w:t>Стратеги</w:t>
      </w:r>
      <w:r>
        <w:rPr>
          <w:rFonts w:hint="default" w:ascii="Times New Roman" w:hAnsi="Times New Roman" w:eastAsia="Times New Roman"/>
          <w:kern w:val="2"/>
          <w:sz w:val="24"/>
          <w:szCs w:val="24"/>
          <w:lang w:val="ru-RU" w:eastAsia="zh-CN"/>
        </w:rPr>
        <w:t>и</w:t>
      </w:r>
      <w:r>
        <w:rPr>
          <w:rFonts w:hint="default" w:ascii="Times New Roman" w:hAnsi="Times New Roman" w:eastAsia="Times New Roman"/>
          <w:kern w:val="2"/>
          <w:sz w:val="24"/>
          <w:szCs w:val="24"/>
          <w:lang w:eastAsia="zh-CN"/>
        </w:rPr>
        <w:t xml:space="preserve"> социально-экономического развития Белоярского района до 2030 года</w:t>
      </w:r>
      <w:r>
        <w:rPr>
          <w:rFonts w:hint="default" w:ascii="Times New Roman" w:hAnsi="Times New Roman" w:eastAsia="Times New Roman"/>
          <w:kern w:val="2"/>
          <w:sz w:val="24"/>
          <w:szCs w:val="24"/>
          <w:lang w:val="ru-RU" w:eastAsia="zh-CN"/>
        </w:rPr>
        <w:t xml:space="preserve"> - «Внедрение информационно - коммуникационных технологий». Выявлено 4 потенциальных получателя  вышеуказанной налоговой льготы.  Куратором налогового расхода (Отделом по информационным ресурсам и защите информации администрации Белоярского района) налоговый расход предлагается сохранить.  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hint="default" w:ascii="Times New Roman" w:hAnsi="Times New Roman" w:eastAsia="Times New Roman"/>
          <w:kern w:val="2"/>
          <w:sz w:val="24"/>
          <w:szCs w:val="24"/>
          <w:lang w:val="ru-RU" w:eastAsia="zh-CN"/>
        </w:rPr>
      </w:pPr>
    </w:p>
    <w:p>
      <w:pPr>
        <w:widowControl w:val="0"/>
        <w:tabs>
          <w:tab w:val="left" w:pos="1276"/>
        </w:tabs>
        <w:suppressAutoHyphens/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  <w:t>2. Эффективность налоговых расходов по налогу на имущество физических лиц</w:t>
      </w:r>
    </w:p>
    <w:p>
      <w:pPr>
        <w:widowControl w:val="0"/>
        <w:tabs>
          <w:tab w:val="left" w:pos="1276"/>
        </w:tabs>
        <w:suppressAutoHyphens/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</w:p>
    <w:p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В соответствии с решением Думы Белоярского района от 29.10.2014 года № 84 «Об утверждении Положения о налоге на имущество физических лиц на межселенной территории Белоярского района» налоговые расходы представлены в виде налоговых льгот для отдельных категорий физических и юридических лиц.</w:t>
      </w: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Оценка эффективности проведена кураторами налоговых расходов по 2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видам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налоговы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х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расход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ов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(1 стимулирующий и 1 социальный), распределенным по 2 муниципальным программам в соответствии с показателями достижения целей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(таблица 2 приложения 1 к аналитической справке).</w:t>
      </w: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kern w:val="2"/>
          <w:sz w:val="24"/>
          <w:szCs w:val="24"/>
          <w:lang w:eastAsia="zh-CN"/>
        </w:rPr>
        <w:t xml:space="preserve">1. В муниципальную программу Белоярского района «Развитие социальной политики на территории Белоярского района»,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ответственным исполнителем которой является Управление по охране труда и социальной политики администрации Белоярского района, включен 1 социальный  налоговый расход «Освобождение от уплаты налога несовершеннолетних владельцев долей имущества».  </w:t>
      </w: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Данный налоговый расход соответствует цели муниципальной программы «Социальная поддержка отдельных категорий граждан, повышение качества жизни жителей Белоярского района». На протяжении 5-ти лет вышеуказанный налоговый расход не был востребован плательщиками налога, но учитывая его социальную направленность (поддержка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социально-незащищённых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слоев населения), куратором налогового расхода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(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Управление по охране труда и социальной политики администрации Белоярского района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)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предлагается сохранить данную льготу.</w:t>
      </w: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i/>
          <w:kern w:val="2"/>
          <w:sz w:val="24"/>
          <w:szCs w:val="24"/>
          <w:lang w:eastAsia="zh-CN"/>
        </w:rPr>
        <w:t>2. В муниципальную программу Белоярского района «Развитие малого и среднего предпринимательства  и туризма в Белоярском районе</w:t>
      </w:r>
      <w:r>
        <w:rPr>
          <w:rFonts w:hint="default" w:ascii="Times New Roman" w:hAnsi="Times New Roman" w:eastAsia="Times New Roman" w:cs="Times New Roman"/>
          <w:i/>
          <w:kern w:val="2"/>
          <w:sz w:val="24"/>
          <w:szCs w:val="24"/>
          <w:lang w:val="ru-RU" w:eastAsia="zh-CN"/>
        </w:rPr>
        <w:t>»</w:t>
      </w:r>
      <w:r>
        <w:rPr>
          <w:rFonts w:ascii="Times New Roman" w:hAnsi="Times New Roman" w:eastAsia="Times New Roman" w:cs="Times New Roman"/>
          <w:i/>
          <w:kern w:val="2"/>
          <w:sz w:val="24"/>
          <w:szCs w:val="24"/>
          <w:lang w:eastAsia="zh-CN"/>
        </w:rPr>
        <w:t>,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ответственным исполнителем которой является Управление природопользования, сельского хозяйства и развития предпринимательства администрации Белоярского района, включен 1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вид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налогов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ого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расход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а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стимулирующего характера «Установление пониженной ставки для индивидуальных предпринимателей – владельцев объектов недвижимого имущества», включенного в перечень, определяемый в соответствии с пунктом 7 статьи 378.2 Налогового кодекса Российской Федерации».</w:t>
      </w: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Данный налоговый расход соответствует цели муниципальной программы «Содействие развитию малого и среднего предпринимательства  в Белоярском районе». </w:t>
      </w: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На протяжении 5-ти лет налоговый расход не был востребован плательщиками налога.</w:t>
      </w:r>
    </w:p>
    <w:p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Преимущества представленного налогового расхода относительно доступных альтернативных механизмов государственной (муниципальной) поддержки является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е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го экономичность. Альтернативный механизм субсидирования расходов имеет компенсационный, целевой характер и направлен на возмещение части затрат субъектов малого и среднего предпринимательства, в то время, как налоговые льготы дают вариативность в принятии решения данной категорией плательщиков в использовании высвободившихся средств на пополнение оборотных средств и инвестиций в основной капитал. Куратором налогового расхода 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(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Управление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м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природопользования, сельского хозяйства и развития предпринимательства администрации Белоярского района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)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предлагается сохранить данную льготу.</w:t>
      </w:r>
    </w:p>
    <w:p>
      <w:pPr>
        <w:widowControl w:val="0"/>
        <w:tabs>
          <w:tab w:val="left" w:pos="1276"/>
        </w:tabs>
        <w:suppressAutoHyphens/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</w:pPr>
    </w:p>
    <w:p>
      <w:pPr>
        <w:widowControl w:val="0"/>
        <w:tabs>
          <w:tab w:val="left" w:pos="1276"/>
        </w:tabs>
        <w:suppressAutoHyphens/>
        <w:spacing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/>
          <w:kern w:val="2"/>
          <w:sz w:val="24"/>
          <w:szCs w:val="24"/>
          <w:lang w:val="ru-RU" w:eastAsia="zh-CN"/>
        </w:rPr>
        <w:t>3</w:t>
      </w:r>
      <w:r>
        <w:rPr>
          <w:rFonts w:ascii="Times New Roman" w:hAnsi="Times New Roman" w:eastAsia="Times New Roman" w:cs="Times New Roman"/>
          <w:b/>
          <w:kern w:val="2"/>
          <w:sz w:val="24"/>
          <w:szCs w:val="24"/>
          <w:lang w:eastAsia="zh-CN"/>
        </w:rPr>
        <w:t>. Выводы</w:t>
      </w:r>
    </w:p>
    <w:p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</w:p>
    <w:p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Установленные налоговые расходы района направлены на достижение целей 5 муниципальных программ Белоярского района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 и 1 цели Стратегии социально-экономического развития района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, в том числе:</w:t>
      </w:r>
    </w:p>
    <w:p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социальную поддержку отдельных категорий граждан, повышение качества жизни жителей района;</w:t>
      </w:r>
    </w:p>
    <w:p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поддержку сельскохозяйственных производителей;</w:t>
      </w:r>
    </w:p>
    <w:p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поддержку субъектов малого предпринимательства, развития предпринимательской деятельности;</w:t>
      </w:r>
    </w:p>
    <w:p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создание условий для развития институтов гражданского общества и реализации гражданских инициатив;</w:t>
      </w:r>
    </w:p>
    <w:p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оптимизацию бюджетных расходов, исключение встречных финансовых потоков;</w:t>
      </w:r>
    </w:p>
    <w:p>
      <w:pPr>
        <w:suppressAutoHyphens/>
        <w:autoSpaceDE w:val="0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>- поддержка о</w:t>
      </w:r>
      <w:r>
        <w:rPr>
          <w:rFonts w:hint="default" w:ascii="Times New Roman" w:hAnsi="Times New Roman" w:eastAsia="Times New Roman"/>
          <w:kern w:val="2"/>
          <w:sz w:val="24"/>
          <w:szCs w:val="24"/>
          <w:lang w:eastAsia="zh-CN"/>
        </w:rPr>
        <w:t>бъектов связи, радиовещания, телевидения</w:t>
      </w:r>
      <w:r>
        <w:rPr>
          <w:rFonts w:hint="default" w:ascii="Times New Roman" w:hAnsi="Times New Roman" w:eastAsia="Times New Roman"/>
          <w:kern w:val="2"/>
          <w:sz w:val="24"/>
          <w:szCs w:val="24"/>
          <w:lang w:val="ru-RU" w:eastAsia="zh-CN"/>
        </w:rPr>
        <w:t xml:space="preserve"> и</w:t>
      </w:r>
      <w:r>
        <w:rPr>
          <w:rFonts w:hint="default" w:ascii="Times New Roman" w:hAnsi="Times New Roman" w:eastAsia="Times New Roman"/>
          <w:kern w:val="2"/>
          <w:sz w:val="24"/>
          <w:szCs w:val="24"/>
          <w:lang w:eastAsia="zh-CN"/>
        </w:rPr>
        <w:t xml:space="preserve"> информатики</w:t>
      </w:r>
      <w:r>
        <w:rPr>
          <w:rFonts w:hint="default" w:ascii="Times New Roman" w:hAnsi="Times New Roman" w:eastAsia="Times New Roman"/>
          <w:kern w:val="2"/>
          <w:sz w:val="24"/>
          <w:szCs w:val="24"/>
          <w:lang w:val="ru-RU" w:eastAsia="zh-CN"/>
        </w:rPr>
        <w:t>;</w:t>
      </w:r>
    </w:p>
    <w:p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>- создание на территории района благоприятного инвестиционного климата, развития конкуренции.</w:t>
      </w:r>
    </w:p>
    <w:p>
      <w:pPr>
        <w:suppressAutoHyphens/>
        <w:autoSpaceDE w:val="0"/>
        <w:spacing w:after="0" w:line="240" w:lineRule="auto"/>
        <w:ind w:firstLine="709"/>
        <w:jc w:val="both"/>
        <w:rPr>
          <w:rFonts w:hint="default"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Calibri" w:cs="Times New Roman"/>
          <w:sz w:val="24"/>
          <w:szCs w:val="24"/>
          <w:lang w:eastAsia="ru-RU"/>
        </w:rPr>
        <w:t>По итогам оценки эффективности налоговых расходов по критериям целесообразности и результативности установлено следующее.</w:t>
      </w:r>
    </w:p>
    <w:p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Н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а протяжении пяти лет невостребованными оказалось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7 налоговых расходов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, в том числе:</w:t>
      </w:r>
    </w:p>
    <w:p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- по земельному налогу – 5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видов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налоговых расход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ов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,</w:t>
      </w:r>
    </w:p>
    <w:p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- по налогу на имущество физических лиц – 2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вида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налоговых расхода.</w:t>
      </w:r>
    </w:p>
    <w:p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Два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налоговых расхода установлены на территории района недавно, в настоящее время заявители на данные льготы отсутствуют, но выявлены 4 потенциальных получателя льгот в последующие налоговые периоды.</w:t>
      </w:r>
    </w:p>
    <w:p>
      <w:pPr>
        <w:widowControl w:val="0"/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textAlignment w:val="baseline"/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</w:pP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Все установленные налоговые расходы района соответствуют целям муниципальных программ Белоярского района и Стратегии социально - экономического развития Белоярского района до 2030 года.</w:t>
      </w:r>
    </w:p>
    <w:p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С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равнительный анализ результативности предоставления налоговых расходов и результативности применения альтернативных механизмов достижения целей муниципальных программ района показал, что существующий механизм льготного налогообложения более эффективный и менее затратный для бюджета района.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Н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алоговые расходы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являются дополнительной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мерой поддержки для отдельных категорий налогоплательщиков.</w:t>
      </w:r>
    </w:p>
    <w:p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Исходя из значений критериев результативности налоговые расходы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района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признаны  неэффективными в 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9-ти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 xml:space="preserve"> случаях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, но, у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val="ru-RU" w:eastAsia="zh-CN"/>
        </w:rPr>
        <w:t>читывая</w:t>
      </w:r>
      <w:r>
        <w:rPr>
          <w:rFonts w:hint="default" w:ascii="Times New Roman" w:hAnsi="Times New Roman" w:eastAsia="Times New Roman" w:cs="Times New Roman"/>
          <w:kern w:val="2"/>
          <w:sz w:val="24"/>
          <w:szCs w:val="24"/>
          <w:lang w:val="ru-RU" w:eastAsia="zh-CN"/>
        </w:rPr>
        <w:t xml:space="preserve"> их направленность, а также принимая во внимание </w:t>
      </w:r>
      <w:r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  <w:t>предложения кураторов налоговых расходов, при формировании основных направлений налоговой и бюджетной политики района предлагается установленные на территории Белоярского района налоговые расходы, включенные в Перечень сохранить в полном составе.</w:t>
      </w:r>
    </w:p>
    <w:p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</w:p>
    <w:p>
      <w:pPr>
        <w:suppressAutoHyphens/>
        <w:spacing w:after="0" w:line="240" w:lineRule="auto"/>
        <w:ind w:firstLine="992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</w:p>
    <w:p>
      <w:pPr>
        <w:suppressAutoHyphens/>
        <w:spacing w:after="0" w:line="240" w:lineRule="auto"/>
        <w:ind w:firstLine="992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</w:p>
    <w:p>
      <w:pPr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zh-CN"/>
        </w:rPr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Начальник отдела прогнозирования </w:t>
      </w:r>
    </w:p>
    <w:p>
      <w:pPr>
        <w:suppressAutoHyphens/>
        <w:spacing w:after="0" w:line="240" w:lineRule="auto"/>
        <w:jc w:val="both"/>
      </w:pP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доходов и финансов                            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zh-CN"/>
        </w:rPr>
        <w:t xml:space="preserve">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zh-CN"/>
        </w:rPr>
        <w:t xml:space="preserve">      О.Н.Орлова</w:t>
      </w:r>
    </w:p>
    <w:p/>
    <w:p>
      <w:pPr>
        <w:rPr>
          <w:rFonts w:hint="default"/>
          <w:lang w:val="ru-RU"/>
        </w:rPr>
        <w:sectPr>
          <w:headerReference r:id="rId5" w:type="first"/>
          <w:footerReference r:id="rId6" w:type="first"/>
          <w:footnotePr>
            <w:pos w:val="beneathText"/>
          </w:footnotePr>
          <w:pgSz w:w="11906" w:h="16838"/>
          <w:pgMar w:top="1440" w:right="866" w:bottom="1440" w:left="1800" w:header="720" w:footer="720" w:gutter="0"/>
          <w:cols w:space="720" w:num="1"/>
          <w:docGrid w:linePitch="360" w:charSpace="0"/>
        </w:sectPr>
      </w:pPr>
      <w:r>
        <w:rPr>
          <w:rFonts w:hint="default"/>
          <w:lang w:val="ru-RU"/>
        </w:rPr>
        <w:t xml:space="preserve">       </w:t>
      </w:r>
    </w:p>
    <w:p/>
    <w:p>
      <w:pPr>
        <w:spacing w:after="0" w:line="240" w:lineRule="auto"/>
        <w:ind w:left="0" w:leftChars="0" w:firstLine="10120" w:firstLineChars="0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1</w:t>
      </w:r>
    </w:p>
    <w:p>
      <w:pPr>
        <w:spacing w:after="0" w:line="240" w:lineRule="auto"/>
        <w:ind w:left="0" w:leftChars="0" w:firstLine="10120" w:firstLine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аналитической записке о результатах оценки</w:t>
      </w:r>
    </w:p>
    <w:p>
      <w:pPr>
        <w:spacing w:after="0" w:line="240" w:lineRule="auto"/>
        <w:ind w:left="0" w:leftChars="0" w:firstLine="10120" w:firstLine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эффективности предоставленных налоговых расходов</w:t>
      </w:r>
    </w:p>
    <w:p>
      <w:pPr>
        <w:spacing w:after="0" w:line="240" w:lineRule="auto"/>
        <w:ind w:left="0" w:leftChars="0" w:firstLine="10120" w:firstLineChars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Белоярского района за 202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>
      <w:pPr>
        <w:ind w:firstLine="4678"/>
        <w:rPr>
          <w:sz w:val="20"/>
          <w:szCs w:val="20"/>
        </w:rPr>
      </w:pPr>
    </w:p>
    <w:p>
      <w:pPr>
        <w:ind w:firstLine="4678"/>
        <w:rPr>
          <w:sz w:val="20"/>
          <w:szCs w:val="20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оценки эффективности налоговых расходов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Белоярского района 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/>
    <w:p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</w:t>
      </w:r>
    </w:p>
    <w:p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1. По земельному налогу:</w:t>
      </w:r>
    </w:p>
    <w:tbl>
      <w:tblPr>
        <w:tblStyle w:val="3"/>
        <w:tblW w:w="15075" w:type="dxa"/>
        <w:tblInd w:w="-16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"/>
        <w:gridCol w:w="1928"/>
        <w:gridCol w:w="1875"/>
        <w:gridCol w:w="963"/>
        <w:gridCol w:w="1225"/>
        <w:gridCol w:w="1300"/>
        <w:gridCol w:w="1112"/>
        <w:gridCol w:w="1863"/>
        <w:gridCol w:w="1575"/>
        <w:gridCol w:w="1350"/>
        <w:gridCol w:w="1600"/>
      </w:tblGrid>
      <w:tr>
        <w:trPr>
          <w:tblHeader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val="en-US" w:eastAsia="zh-CN" w:bidi="hi-IN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14"/>
                <w:szCs w:val="14"/>
                <w:lang w:val="en-US" w:eastAsia="zh-CN" w:bidi="hi-IN"/>
              </w:rPr>
              <w:t xml:space="preserve"> </w:t>
            </w: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val="en-US" w:eastAsia="zh-CN" w:bidi="hi-IN"/>
              </w:rPr>
              <w:t>п/п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Наименование налогового расхода (налоговых льгот, освобождений и иных преференций)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Цели предоставления налоговых расходов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Объем налоговых расходов (тыс. руб.)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Численность плательщиков налогов, воспользовавшихся налоговым расходом (единиц)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 xml:space="preserve">Востребованность плательщиками предоставленных налоговых расходов (коэффициент востребованности &gt; 0,3)                                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 xml:space="preserve">Коэффициент эффективности вклада  (&gt; 0)                                 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Оценка вклада предусмотренного налогового расхода в изменение значения показателя (индикатора) достижения целей государственных программ автономного округа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Результат сравнительного анализа результативности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Бюджетный эффект (самоокупаемость)             (тыс. руб.)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14"/>
                <w:szCs w:val="14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(&gt; 0)</w:t>
            </w: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vertAlign w:val="superscript"/>
                <w:lang w:eastAsia="zh-CN" w:bidi="hi-IN"/>
              </w:rPr>
              <w:footnoteReference w:id="0"/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Результат оценки эффективности налогового расхода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val="en-US"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tblHeader/>
        </w:trPr>
        <w:tc>
          <w:tcPr>
            <w:tcW w:w="2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val="en-US" w:eastAsia="zh-CN" w:bidi="hi-IN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val="en-US" w:eastAsia="zh-CN" w:bidi="hi-IN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val="en-US" w:eastAsia="zh-CN" w:bidi="hi-IN"/>
              </w:rPr>
              <w:t>3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4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6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7</w:t>
            </w:r>
          </w:p>
        </w:tc>
        <w:tc>
          <w:tcPr>
            <w:tcW w:w="18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8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10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" w:hRule="atLeast"/>
        </w:trPr>
        <w:tc>
          <w:tcPr>
            <w:tcW w:w="15075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suppressAutoHyphens/>
              <w:spacing w:before="57" w:after="57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kern w:val="2"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>1. Муниципальная программа Белоярского района «Управление муниципальными финансами в Белоярском районе»</w:t>
            </w: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 xml:space="preserve"> (куратор - Комитет по финансам и налоговой политике администрации Белоярского района)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5" w:hRule="atLeast"/>
        </w:trPr>
        <w:tc>
          <w:tcPr>
            <w:tcW w:w="2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Освобождение от уплаты налога органов местного самоуправления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 встречных финансовых потоков, оптимизации бюджетных расходов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2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0/ не востребован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0</w:t>
            </w:r>
          </w:p>
        </w:tc>
        <w:tc>
          <w:tcPr>
            <w:tcW w:w="18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Налоговый расход не результативный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 xml:space="preserve">Налоговый расход  </w:t>
            </w: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относительно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 xml:space="preserve"> экономный 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Налоговый расход недостаточно эффективный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4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Освобождение от уплаты налога муниципальных учреждений Белоярского района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 встречных финансовых потоков, оптимизации бюджетных расходов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2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0/ не востребован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0</w:t>
            </w:r>
          </w:p>
        </w:tc>
        <w:tc>
          <w:tcPr>
            <w:tcW w:w="186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Налоговый расход не результативный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 xml:space="preserve">Налоговый расход  </w:t>
            </w: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относительно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 xml:space="preserve"> экономный 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Налоговый расход недостаточно эффективный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>2. Муниципальная программа Белоярского района «Развитие социальной политики на территории Белоярского района»</w:t>
            </w: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 xml:space="preserve"> (куратор - Управление по охране труда и социальной политике администрации Белоярского района)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Социальная поддержки  отдельных категорий граждан, повышения качества жизни жителей района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2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0/ не востребован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0</w:t>
            </w:r>
          </w:p>
        </w:tc>
        <w:tc>
          <w:tcPr>
            <w:tcW w:w="186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Налоговый расход не результативный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 xml:space="preserve">Налоговый расход  </w:t>
            </w: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относительно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 xml:space="preserve"> экономный 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Налоговый расход недостаточно эффективный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Освобождение от уплаты налога социально ориентированных некоммерческих организаций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условий для развития институтов гражданского общества и реализации гражданских инициатив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0/ не востребован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Налоговый расход не результативный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 xml:space="preserve">Налоговый расход  </w:t>
            </w: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относительно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 xml:space="preserve"> экономный 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Налоговый расход недостаточно эффективный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20" w:leftChars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>Муниципальная программа Белоярского района «Обеспечение доступным и комфортным жильем</w:t>
            </w: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>жителей Белоярского района»</w:t>
            </w: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 xml:space="preserve"> (куратор - Управление по архитектуре и градостроительству администрации Белоярского района)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5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en-US" w:eastAsia="zh-CN" w:bidi="ar-SA"/>
              </w:rPr>
              <w:t>Освобождение от уплаты налога организаций в отношении земельных участков, в границах которых реализуются инвестиционные проекты в соответствии с соглашением о защите и поощрении капиталовложений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en-US" w:eastAsia="zh-CN" w:bidi="ar-SA"/>
              </w:rPr>
              <w:t>Освобождение от уплаты налога организаций в отношении земельных участков, в границах которых реализуются инвестиционные проекты в соответствии с соглашением о защите и поощрении капиталовложений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0/ не востребован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Налоговый расход не результативный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 xml:space="preserve">Налоговый расход  </w:t>
            </w: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относительно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 xml:space="preserve"> экономный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Налоговый расход недостаточно эффективный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20" w:leftChars="0" w:firstLine="0" w:firstLineChars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>М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>униципальн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>ая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программ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Белоярск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>ого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района «Развитие агропромышленного комплекса»</w:t>
            </w: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 xml:space="preserve"> (куратор - Управление природопользования, сельского хозяйства и развития предпринимательства администрации Белоярского района)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6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Theme="minorHAnsi"/>
                <w:color w:val="000000"/>
                <w:sz w:val="18"/>
                <w:szCs w:val="18"/>
                <w:lang w:val="en-US" w:eastAsia="zh-CN"/>
              </w:rPr>
              <w:t>Установление пониженной ставки по налогу с целью поддержки сельскохозяйственных производителей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en-US" w:eastAsia="zh-CN" w:bidi="ar-SA"/>
              </w:rPr>
              <w:t>Поддержка сельскохозяйственных производителей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0/ не востребован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Налоговый расход не результативный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 xml:space="preserve">Налоговый расход  </w:t>
            </w: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относительно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 xml:space="preserve"> экономный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Налоговый расход недостаточно эффективный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20" w:lef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>Стратегия социально - экономического развития Белоярского района до 2030 года (куратор - Отдел по информационным ресурсам и защите информации администрации Белоярского района)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</w:pP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7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Theme="minorHAnsi"/>
                <w:color w:val="000000"/>
                <w:sz w:val="18"/>
                <w:szCs w:val="18"/>
                <w:lang w:val="ru-RU" w:eastAsia="zh-CN"/>
              </w:rPr>
            </w:pPr>
            <w:r>
              <w:rPr>
                <w:rFonts w:hint="default" w:ascii="Times New Roman" w:hAnsi="Times New Roman" w:eastAsiaTheme="minorHAnsi"/>
                <w:color w:val="000000"/>
                <w:sz w:val="18"/>
                <w:szCs w:val="18"/>
                <w:lang w:val="en-US" w:eastAsia="zh-CN"/>
              </w:rPr>
              <w:t>Установление пониженной ставки для владельцев земельных участков, предназначенных для обеспечения деятельности организаций и (или) объектов связи, радиовещания, телевидения, информатики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Theme="minorHAnsi"/>
                <w:color w:val="000000"/>
                <w:sz w:val="18"/>
                <w:szCs w:val="18"/>
                <w:lang w:val="en-US" w:eastAsia="zh-CN"/>
              </w:rPr>
              <w:t>Снижение налоговой нагрузки для объектов связи и центров обработки данных с целью обеспечения ускоренного развития отрасли информационных технологий в Российской Федерации (Указ Президента Российской Федерации от 2 марта 2022 года № 83 «О мерах по обеспечению ускоренного развития отрасли информационных технологий в Российской Федерации»)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0/ не востребован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Налоговый расход не результативный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 xml:space="preserve">Налоговый расход  </w:t>
            </w: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относительно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 xml:space="preserve"> экономный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Налоговый расход недостаточно эффективный</w:t>
            </w:r>
          </w:p>
        </w:tc>
      </w:tr>
    </w:tbl>
    <w:p>
      <w:pPr>
        <w:wordWrap/>
        <w:jc w:val="left"/>
        <w:rPr>
          <w:rFonts w:hint="default"/>
          <w:sz w:val="16"/>
          <w:szCs w:val="16"/>
          <w:lang w:val="ru-RU"/>
        </w:rPr>
      </w:pPr>
    </w:p>
    <w:p>
      <w:pPr>
        <w:wordWrap/>
        <w:jc w:val="left"/>
        <w:rPr>
          <w:rFonts w:hint="default" w:ascii="Times New Roman" w:hAnsi="Times New Roman" w:eastAsia="Calibri" w:cs="Times New Roman"/>
          <w:sz w:val="16"/>
          <w:szCs w:val="16"/>
          <w:lang w:val="ru-RU" w:eastAsia="zh-CN"/>
        </w:rPr>
      </w:pPr>
    </w:p>
    <w:p>
      <w:pPr>
        <w:jc w:val="right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Таблица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2</w:t>
      </w:r>
    </w:p>
    <w:p>
      <w:pPr>
        <w:rPr>
          <w:b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По налогу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на имущество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3"/>
        <w:tblW w:w="15075" w:type="dxa"/>
        <w:tblInd w:w="-16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"/>
        <w:gridCol w:w="1928"/>
        <w:gridCol w:w="1875"/>
        <w:gridCol w:w="963"/>
        <w:gridCol w:w="1225"/>
        <w:gridCol w:w="1300"/>
        <w:gridCol w:w="1112"/>
        <w:gridCol w:w="1863"/>
        <w:gridCol w:w="1575"/>
        <w:gridCol w:w="1350"/>
        <w:gridCol w:w="16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val="en-US" w:eastAsia="zh-CN" w:bidi="hi-IN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14"/>
                <w:szCs w:val="14"/>
                <w:lang w:val="en-US" w:eastAsia="zh-CN" w:bidi="hi-IN"/>
              </w:rPr>
              <w:t xml:space="preserve"> </w:t>
            </w: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val="en-US" w:eastAsia="zh-CN" w:bidi="hi-IN"/>
              </w:rPr>
              <w:t>п/п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Наименование налогового расхода (налоговых льгот, освобождений и иных преференций)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Цели предоставления налоговых расходов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Объем налоговых расходов (тыс. руб.)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Численность плательщиков налогов, воспользовавшихся налоговым расходом (единиц)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 xml:space="preserve">Востребованность плательщиками предоставленных налоговых расходов (коэффициент востребованности &gt; 0,3)                                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 xml:space="preserve">Коэффициент эффективности вклада  (&gt; 0)                                  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Оценка вклада предусмотренного налогового расхода в изменение значения показателя (индикатора) достижения целей государственных программ автономного округа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Результат сравнительного анализа результативности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Бюджетный эффект (самоокупаемость)             (тыс. руб.)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14"/>
                <w:szCs w:val="14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(&gt; 0)</w:t>
            </w: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vertAlign w:val="superscript"/>
                <w:lang w:eastAsia="zh-CN" w:bidi="hi-IN"/>
              </w:rPr>
              <w:footnoteReference w:id="1"/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eastAsia="zh-CN" w:bidi="hi-IN"/>
              </w:rPr>
              <w:t>Результат оценки эффективности налогового расхода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Mangal"/>
                <w:b/>
                <w:kern w:val="2"/>
                <w:sz w:val="14"/>
                <w:szCs w:val="14"/>
                <w:lang w:val="en-US" w:eastAsia="zh-CN" w:bidi="hi-I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tblHeader/>
        </w:trPr>
        <w:tc>
          <w:tcPr>
            <w:tcW w:w="2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val="en-US" w:eastAsia="zh-CN" w:bidi="hi-IN"/>
              </w:rPr>
              <w:t>1</w:t>
            </w:r>
          </w:p>
        </w:tc>
        <w:tc>
          <w:tcPr>
            <w:tcW w:w="192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val="en-US" w:eastAsia="zh-CN" w:bidi="hi-IN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val="en-US" w:eastAsia="zh-CN" w:bidi="hi-IN"/>
              </w:rPr>
              <w:t>3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4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6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7</w:t>
            </w:r>
          </w:p>
        </w:tc>
        <w:tc>
          <w:tcPr>
            <w:tcW w:w="18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8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10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before="57" w:after="57" w:line="240" w:lineRule="auto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SimSun" w:cs="Mangal"/>
                <w:b/>
                <w:bCs/>
                <w:kern w:val="2"/>
                <w:sz w:val="14"/>
                <w:szCs w:val="14"/>
                <w:lang w:eastAsia="zh-CN" w:bidi="hi-IN"/>
              </w:rPr>
              <w:t>11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" w:hRule="atLeast"/>
        </w:trPr>
        <w:tc>
          <w:tcPr>
            <w:tcW w:w="15075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numPr>
                <w:ilvl w:val="0"/>
                <w:numId w:val="4"/>
              </w:numPr>
              <w:suppressAutoHyphens/>
              <w:spacing w:before="57" w:after="57" w:line="240" w:lineRule="auto"/>
              <w:ind w:left="44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Муниципальная программа Белоярского района </w:t>
            </w:r>
            <w:r>
              <w:rPr>
                <w:rFonts w:hint="default" w:ascii="Times New Roman" w:hAnsi="Times New Roman" w:eastAsia="Times New Roman"/>
                <w:b/>
                <w:kern w:val="2"/>
                <w:sz w:val="24"/>
                <w:szCs w:val="24"/>
                <w:lang w:eastAsia="zh-CN"/>
              </w:rPr>
              <w:t>«Развитие социальной политики</w:t>
            </w:r>
            <w:r>
              <w:rPr>
                <w:rFonts w:hint="default" w:ascii="Times New Roman" w:hAnsi="Times New Roman" w:eastAsia="Times New Roman"/>
                <w:b/>
                <w:kern w:val="2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/>
                <w:kern w:val="2"/>
                <w:sz w:val="24"/>
                <w:szCs w:val="24"/>
                <w:lang w:eastAsia="zh-CN"/>
              </w:rPr>
              <w:t>на территории Белоярского района»</w:t>
            </w:r>
            <w:r>
              <w:rPr>
                <w:rFonts w:hint="default" w:ascii="Times New Roman" w:hAnsi="Times New Roman" w:eastAsia="Times New Roman"/>
                <w:b/>
                <w:kern w:val="2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>(куратор - Управление по охране труда и социальной политике администрации Белоярского района)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8" w:hRule="atLeast"/>
        </w:trPr>
        <w:tc>
          <w:tcPr>
            <w:tcW w:w="28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ru-RU"/>
              </w:rPr>
              <w:t>Освобождение от уплаты налога несовершеннолетних владельцев долей имущества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</w:rPr>
              <w:t>Социальная поддержка отдельных категорий граждан, повышения качества жизни жителей района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2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0/ не востребован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0</w:t>
            </w:r>
          </w:p>
        </w:tc>
        <w:tc>
          <w:tcPr>
            <w:tcW w:w="18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Налоговый расход не результативный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 xml:space="preserve">Налоговый расход  </w:t>
            </w: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относительно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 xml:space="preserve"> экономный 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Налоговый расход недостаточно эффективный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</w:trPr>
        <w:tc>
          <w:tcPr>
            <w:tcW w:w="15075" w:type="dxa"/>
            <w:gridSpan w:val="11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uppressAutoHyphens/>
              <w:spacing w:before="57" w:after="57" w:line="240" w:lineRule="auto"/>
              <w:ind w:left="220" w:leftChars="0" w:firstLine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>Муниципальная программа Белоярского района «Развитие малого и среднего предпринимательства и туризма</w:t>
            </w: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lang w:eastAsia="zh-CN"/>
              </w:rPr>
              <w:t>в Белоярском районе»</w:t>
            </w:r>
            <w:r>
              <w:rPr>
                <w:rFonts w:hint="default" w:ascii="Times New Roman" w:hAnsi="Times New Roman" w:eastAsia="Times New Roman" w:cs="Times New Roman"/>
                <w:b/>
                <w:kern w:val="2"/>
                <w:sz w:val="24"/>
                <w:szCs w:val="24"/>
                <w:lang w:val="ru-RU" w:eastAsia="zh-CN"/>
              </w:rPr>
              <w:t xml:space="preserve"> (куратор - Управление природопользования, сельского хозяйства и развития предпринимательства администрации Белоярского района)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" w:hRule="atLeast"/>
        </w:trPr>
        <w:tc>
          <w:tcPr>
            <w:tcW w:w="284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HAnsi"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</w:rPr>
              <w:t>Установление пониженной ставки для индивидуальных предпринимателей - владельцев объектов недвижимого имущества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ru-RU"/>
              </w:rPr>
              <w:t>включённого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</w:rPr>
              <w:t xml:space="preserve"> в перечень, определяемый в соответствии с пунктом 7 статьи 378.2 Налогового кодекса 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ru-RU"/>
              </w:rPr>
              <w:t>Р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</w:rPr>
              <w:t xml:space="preserve">оссийской 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ru-RU"/>
              </w:rPr>
              <w:t>Федерации</w:t>
            </w:r>
          </w:p>
        </w:tc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  <w:lang w:val="ru-RU" w:eastAsia="en-US" w:bidi="ar-SA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</w:rPr>
              <w:t>Поддержка субъектов малого предпринимательства, развития предпринимательской деятельности</w:t>
            </w: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color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2"/>
                <w:sz w:val="18"/>
                <w:szCs w:val="18"/>
                <w:lang w:eastAsia="zh-CN" w:bidi="hi-IN"/>
              </w:rPr>
              <w:t>0,00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0/ не востребован</w:t>
            </w:r>
          </w:p>
        </w:tc>
        <w:tc>
          <w:tcPr>
            <w:tcW w:w="1112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0</w:t>
            </w:r>
          </w:p>
        </w:tc>
        <w:tc>
          <w:tcPr>
            <w:tcW w:w="1863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Налоговый расход не результативный</w:t>
            </w:r>
          </w:p>
        </w:tc>
        <w:tc>
          <w:tcPr>
            <w:tcW w:w="1575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 xml:space="preserve">Налоговый расход  </w:t>
            </w: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>относительно</w:t>
            </w:r>
            <w:r>
              <w:rPr>
                <w:rFonts w:hint="default" w:ascii="Times New Roman" w:hAnsi="Times New Roman" w:eastAsia="Times New Roman" w:cs="Times New Roman"/>
                <w:kern w:val="2"/>
                <w:sz w:val="18"/>
                <w:szCs w:val="18"/>
                <w:lang w:val="ru-RU" w:eastAsia="zh-CN"/>
              </w:rPr>
              <w:t xml:space="preserve"> экономный 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kern w:val="2"/>
                <w:sz w:val="18"/>
                <w:szCs w:val="18"/>
                <w:lang w:eastAsia="zh-CN" w:bidi="hi-IN"/>
              </w:rPr>
              <w:t>Х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18"/>
                <w:szCs w:val="18"/>
                <w:lang w:eastAsia="zh-CN"/>
              </w:rPr>
              <w:t>Налоговый расход недостаточно эффективный</w:t>
            </w:r>
          </w:p>
        </w:tc>
      </w:tr>
    </w:tbl>
    <w:p>
      <w:pPr>
        <w:wordWrap/>
        <w:jc w:val="center"/>
        <w:rPr>
          <w:rFonts w:hint="default"/>
          <w:lang w:val="ru-RU"/>
        </w:rPr>
      </w:pPr>
    </w:p>
    <w:p>
      <w:pPr>
        <w:wordWrap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____________</w:t>
      </w:r>
    </w:p>
    <w:sectPr>
      <w:footnotePr>
        <w:pos w:val="beneathText"/>
      </w:footnotePr>
      <w:pgSz w:w="16838" w:h="11906" w:orient="landscape"/>
      <w:pgMar w:top="1080" w:right="780" w:bottom="1080" w:left="113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59" w:lineRule="auto"/>
      </w:pPr>
    </w:p>
  </w:footnote>
  <w:footnote w:type="continuationSeparator" w:id="5">
    <w:p>
      <w:pPr>
        <w:spacing w:before="0" w:after="0" w:line="259" w:lineRule="auto"/>
      </w:pPr>
    </w:p>
  </w:footnote>
  <w:footnote w:id="0">
    <w:p>
      <w:pPr>
        <w:pStyle w:val="5"/>
        <w:jc w:val="both"/>
        <w:rPr>
          <w:b/>
          <w:bCs/>
          <w:color w:val="0000FF"/>
          <w:u w:val="single"/>
        </w:rPr>
      </w:pPr>
    </w:p>
  </w:footnote>
  <w:footnote w:id="1">
    <w:p>
      <w:pPr>
        <w:pStyle w:val="5"/>
        <w:jc w:val="both"/>
        <w:rPr>
          <w:rFonts w:hint="default" w:ascii="Times New Roman" w:hAnsi="Times New Roman" w:cs="Times New Roman" w:eastAsiaTheme="minorHAnsi"/>
          <w:b/>
          <w:kern w:val="0"/>
          <w:sz w:val="24"/>
          <w:szCs w:val="24"/>
          <w:lang w:val="ru-RU" w:eastAsia="en-US" w:bidi="ar-S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</w:p>
  <w:p>
    <w:pPr>
      <w:pStyle w:val="6"/>
      <w:jc w:val="center"/>
      <w:rPr>
        <w:sz w:val="28"/>
        <w:szCs w:val="28"/>
      </w:rPr>
    </w:pPr>
  </w:p>
  <w:p>
    <w:pPr>
      <w:pStyle w:val="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0332C5"/>
    <w:multiLevelType w:val="singleLevel"/>
    <w:tmpl w:val="E80332C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5AF6AA7"/>
    <w:multiLevelType w:val="singleLevel"/>
    <w:tmpl w:val="15AF6AA7"/>
    <w:lvl w:ilvl="0" w:tentative="0">
      <w:start w:val="1"/>
      <w:numFmt w:val="decimal"/>
      <w:suff w:val="space"/>
      <w:lvlText w:val="%1."/>
      <w:lvlJc w:val="left"/>
      <w:pPr>
        <w:ind w:left="440"/>
      </w:pPr>
    </w:lvl>
  </w:abstractNum>
  <w:abstractNum w:abstractNumId="2">
    <w:nsid w:val="1702A3C8"/>
    <w:multiLevelType w:val="singleLevel"/>
    <w:tmpl w:val="1702A3C8"/>
    <w:lvl w:ilvl="0" w:tentative="0">
      <w:start w:val="2"/>
      <w:numFmt w:val="decimal"/>
      <w:suff w:val="space"/>
      <w:lvlText w:val="%1."/>
      <w:lvlJc w:val="left"/>
      <w:pPr>
        <w:ind w:left="220"/>
      </w:pPr>
      <w:rPr>
        <w:rFonts w:hint="default"/>
        <w:b/>
        <w:bCs/>
      </w:rPr>
    </w:lvl>
  </w:abstractNum>
  <w:abstractNum w:abstractNumId="3">
    <w:nsid w:val="6A4CCADC"/>
    <w:multiLevelType w:val="singleLevel"/>
    <w:tmpl w:val="6A4CCADC"/>
    <w:lvl w:ilvl="0" w:tentative="0">
      <w:start w:val="3"/>
      <w:numFmt w:val="decimal"/>
      <w:suff w:val="space"/>
      <w:lvlText w:val="%1."/>
      <w:lvlJc w:val="left"/>
      <w:pPr>
        <w:ind w:left="220"/>
      </w:pPr>
      <w:rPr>
        <w:rFonts w:hint="default"/>
        <w:b/>
        <w:bCs/>
        <w:sz w:val="21"/>
        <w:szCs w:val="21"/>
      </w:rPr>
    </w:lvl>
  </w:abstractNum>
  <w:abstractNum w:abstractNumId="4">
    <w:nsid w:val="7D09DD59"/>
    <w:multiLevelType w:val="singleLevel"/>
    <w:tmpl w:val="7D09DD59"/>
    <w:lvl w:ilvl="0" w:tentative="0">
      <w:start w:val="5"/>
      <w:numFmt w:val="decimal"/>
      <w:suff w:val="space"/>
      <w:lvlText w:val="%1."/>
      <w:lvlJc w:val="left"/>
      <w:rPr>
        <w:rFonts w:hint="default"/>
        <w:i/>
        <w:iCs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pos w:val="beneathText"/>
    <w:footnote w:id="4"/>
    <w:footnote w:id="5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86"/>
    <w:rsid w:val="00002474"/>
    <w:rsid w:val="00034B2D"/>
    <w:rsid w:val="00104290"/>
    <w:rsid w:val="00104F89"/>
    <w:rsid w:val="00121A52"/>
    <w:rsid w:val="001310B0"/>
    <w:rsid w:val="0013321A"/>
    <w:rsid w:val="00165FF7"/>
    <w:rsid w:val="0019223F"/>
    <w:rsid w:val="001B1569"/>
    <w:rsid w:val="001D5DD1"/>
    <w:rsid w:val="001D5EBC"/>
    <w:rsid w:val="00210184"/>
    <w:rsid w:val="002609B0"/>
    <w:rsid w:val="00285CC1"/>
    <w:rsid w:val="002B0F96"/>
    <w:rsid w:val="002F5A38"/>
    <w:rsid w:val="0031615F"/>
    <w:rsid w:val="0031637F"/>
    <w:rsid w:val="003558D0"/>
    <w:rsid w:val="00387E1A"/>
    <w:rsid w:val="003E3165"/>
    <w:rsid w:val="00400B9E"/>
    <w:rsid w:val="004320BC"/>
    <w:rsid w:val="00462D46"/>
    <w:rsid w:val="004A47B6"/>
    <w:rsid w:val="004B5067"/>
    <w:rsid w:val="005239C9"/>
    <w:rsid w:val="00535A97"/>
    <w:rsid w:val="00542593"/>
    <w:rsid w:val="00595280"/>
    <w:rsid w:val="005F40D1"/>
    <w:rsid w:val="006D0A19"/>
    <w:rsid w:val="006F0E9F"/>
    <w:rsid w:val="0074349C"/>
    <w:rsid w:val="00746CED"/>
    <w:rsid w:val="00752786"/>
    <w:rsid w:val="007751FF"/>
    <w:rsid w:val="007A2BAA"/>
    <w:rsid w:val="007D378A"/>
    <w:rsid w:val="007E4F10"/>
    <w:rsid w:val="007E5510"/>
    <w:rsid w:val="00804E6D"/>
    <w:rsid w:val="0084247E"/>
    <w:rsid w:val="0084368D"/>
    <w:rsid w:val="00854151"/>
    <w:rsid w:val="00863315"/>
    <w:rsid w:val="00896751"/>
    <w:rsid w:val="008B0696"/>
    <w:rsid w:val="0096250A"/>
    <w:rsid w:val="00983026"/>
    <w:rsid w:val="00995FB3"/>
    <w:rsid w:val="00996191"/>
    <w:rsid w:val="009975DC"/>
    <w:rsid w:val="00A17152"/>
    <w:rsid w:val="00A56848"/>
    <w:rsid w:val="00AC6386"/>
    <w:rsid w:val="00B47E87"/>
    <w:rsid w:val="00BA7497"/>
    <w:rsid w:val="00BD0B13"/>
    <w:rsid w:val="00C300D6"/>
    <w:rsid w:val="00C56EF5"/>
    <w:rsid w:val="00C8556F"/>
    <w:rsid w:val="00CE2AF1"/>
    <w:rsid w:val="00CE7C97"/>
    <w:rsid w:val="00D10C86"/>
    <w:rsid w:val="00D57646"/>
    <w:rsid w:val="00D8169B"/>
    <w:rsid w:val="00D84743"/>
    <w:rsid w:val="00DA22CE"/>
    <w:rsid w:val="00E76847"/>
    <w:rsid w:val="00F37582"/>
    <w:rsid w:val="00FA0257"/>
    <w:rsid w:val="00FA19DB"/>
    <w:rsid w:val="00FA3933"/>
    <w:rsid w:val="035C3621"/>
    <w:rsid w:val="08263BCE"/>
    <w:rsid w:val="0A313ED7"/>
    <w:rsid w:val="0FCC118B"/>
    <w:rsid w:val="10741CD8"/>
    <w:rsid w:val="1D691BAA"/>
    <w:rsid w:val="2202254F"/>
    <w:rsid w:val="25A31840"/>
    <w:rsid w:val="285C0647"/>
    <w:rsid w:val="296D4D6F"/>
    <w:rsid w:val="2A2B6DC2"/>
    <w:rsid w:val="2D7D53BA"/>
    <w:rsid w:val="2DC90C20"/>
    <w:rsid w:val="2E92651A"/>
    <w:rsid w:val="31716ADE"/>
    <w:rsid w:val="35422940"/>
    <w:rsid w:val="37B75C5B"/>
    <w:rsid w:val="3A7613BA"/>
    <w:rsid w:val="3C9F2951"/>
    <w:rsid w:val="3E3F3D5A"/>
    <w:rsid w:val="414D1A59"/>
    <w:rsid w:val="42105636"/>
    <w:rsid w:val="446D2CAA"/>
    <w:rsid w:val="489F3C58"/>
    <w:rsid w:val="4A58274B"/>
    <w:rsid w:val="4BC16F93"/>
    <w:rsid w:val="4DD62421"/>
    <w:rsid w:val="4EC46E4B"/>
    <w:rsid w:val="4F167DB2"/>
    <w:rsid w:val="4FAC524D"/>
    <w:rsid w:val="54EF50D9"/>
    <w:rsid w:val="55890581"/>
    <w:rsid w:val="56626E56"/>
    <w:rsid w:val="58501C42"/>
    <w:rsid w:val="59FD4A77"/>
    <w:rsid w:val="5A9A7390"/>
    <w:rsid w:val="5E275133"/>
    <w:rsid w:val="63C447EE"/>
    <w:rsid w:val="645B06BC"/>
    <w:rsid w:val="645E5B15"/>
    <w:rsid w:val="68A375CB"/>
    <w:rsid w:val="68DC6F55"/>
    <w:rsid w:val="69B650F2"/>
    <w:rsid w:val="6E431F7B"/>
    <w:rsid w:val="77F65736"/>
    <w:rsid w:val="7801122D"/>
    <w:rsid w:val="7B5E2936"/>
    <w:rsid w:val="7B5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note text"/>
    <w:basedOn w:val="1"/>
    <w:semiHidden/>
    <w:unhideWhenUsed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2"/>
      <w:sz w:val="20"/>
      <w:szCs w:val="20"/>
      <w:lang w:val="zh-CN" w:eastAsia="zh-CN"/>
    </w:rPr>
  </w:style>
  <w:style w:type="paragraph" w:styleId="6">
    <w:name w:val="head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Верхний колонтитул Знак"/>
    <w:basedOn w:val="2"/>
    <w:link w:val="6"/>
    <w:semiHidden/>
    <w:qFormat/>
    <w:uiPriority w:val="99"/>
  </w:style>
  <w:style w:type="character" w:customStyle="1" w:styleId="12">
    <w:name w:val="Нижний колонтитул Знак"/>
    <w:basedOn w:val="2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2484</Words>
  <Characters>14159</Characters>
  <Lines>117</Lines>
  <Paragraphs>33</Paragraphs>
  <TotalTime>24</TotalTime>
  <ScaleCrop>false</ScaleCrop>
  <LinksUpToDate>false</LinksUpToDate>
  <CharactersWithSpaces>16610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2021-10-16T01:31:00Z</dcterms:created>
  <dc:creator>orlovaa9048851878@gmail.com</dc:creator>
  <cp:lastModifiedBy>OrlovaON</cp:lastModifiedBy>
  <cp:lastPrinted>2023-10-24T10:00:00Z</cp:lastPrinted>
  <dcterms:modified xsi:type="dcterms:W3CDTF">2023-10-25T06:11:42Z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C7807B8C6C3E4B4BA08B9FC6757C7338</vt:lpwstr>
  </property>
</Properties>
</file>