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24D50" w:rsidRDefault="008E575F">
      <w:pPr>
        <w:jc w:val="center"/>
        <w:rPr>
          <w:b/>
          <w:bCs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</w:p>
    <w:p w:rsidR="00824D50" w:rsidRDefault="008E575F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:rsidR="00824D50" w:rsidRDefault="008E575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824D50" w:rsidRDefault="00824D50">
      <w:pPr>
        <w:spacing w:after="0" w:line="240" w:lineRule="auto"/>
        <w:jc w:val="right"/>
        <w:rPr>
          <w:rFonts w:eastAsia="Times New Roman"/>
          <w:sz w:val="24"/>
          <w:szCs w:val="20"/>
          <w:lang w:eastAsia="ru-RU"/>
        </w:rPr>
      </w:pPr>
    </w:p>
    <w:p w:rsidR="00824D50" w:rsidRDefault="00824D50">
      <w:pPr>
        <w:spacing w:after="0" w:line="240" w:lineRule="auto"/>
        <w:jc w:val="center"/>
        <w:rPr>
          <w:rFonts w:eastAsia="Times New Roman"/>
          <w:sz w:val="24"/>
          <w:szCs w:val="20"/>
          <w:lang w:eastAsia="ru-RU"/>
        </w:rPr>
      </w:pPr>
    </w:p>
    <w:p w:rsidR="00824D50" w:rsidRDefault="008E57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824D50" w:rsidRDefault="00824D5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24D50" w:rsidRDefault="00824D50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824D50" w:rsidRDefault="008E575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824D50" w:rsidRDefault="00824D50">
      <w:pPr>
        <w:pStyle w:val="33"/>
      </w:pPr>
    </w:p>
    <w:p w:rsidR="00824D50" w:rsidRDefault="008E575F" w:rsidP="008E575F">
      <w:pPr>
        <w:pStyle w:val="33"/>
        <w:jc w:val="right"/>
      </w:pPr>
      <w:r>
        <w:t>ПРОЕКТ</w:t>
      </w:r>
    </w:p>
    <w:p w:rsidR="00824D50" w:rsidRDefault="008E575F">
      <w:pPr>
        <w:pStyle w:val="33"/>
      </w:pPr>
      <w:r>
        <w:t xml:space="preserve">от    декабря 2025 года                                                                                                            № </w:t>
      </w:r>
    </w:p>
    <w:p w:rsidR="00824D50" w:rsidRDefault="00824D50">
      <w:pPr>
        <w:pStyle w:val="33"/>
        <w:rPr>
          <w:b/>
          <w:bCs/>
        </w:rPr>
      </w:pPr>
    </w:p>
    <w:p w:rsidR="00824D50" w:rsidRDefault="00824D5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24D50" w:rsidRDefault="008E575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Белоярского района </w:t>
      </w:r>
    </w:p>
    <w:p w:rsidR="00824D50" w:rsidRDefault="008E575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от 5 декабря 2024 года № 855 </w:t>
      </w:r>
    </w:p>
    <w:p w:rsidR="00824D50" w:rsidRDefault="00824D50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highlight w:val="yellow"/>
          <w:lang w:eastAsia="ru-RU"/>
        </w:rPr>
      </w:pPr>
    </w:p>
    <w:p w:rsidR="00824D50" w:rsidRDefault="00824D50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highlight w:val="yellow"/>
          <w:lang w:eastAsia="ru-RU"/>
        </w:rPr>
      </w:pPr>
    </w:p>
    <w:p w:rsidR="00824D50" w:rsidRDefault="00824D50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highlight w:val="yellow"/>
          <w:lang w:eastAsia="ru-RU"/>
        </w:rPr>
      </w:pPr>
    </w:p>
    <w:p w:rsidR="00824D50" w:rsidRDefault="008E575F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pacing w:val="72"/>
          <w:sz w:val="24"/>
          <w:szCs w:val="24"/>
          <w:lang w:eastAsia="ru-RU"/>
        </w:rPr>
        <w:t>Постановля</w:t>
      </w:r>
      <w:r>
        <w:rPr>
          <w:rFonts w:eastAsia="Times New Roman"/>
          <w:sz w:val="24"/>
          <w:szCs w:val="24"/>
          <w:lang w:eastAsia="ru-RU"/>
        </w:rPr>
        <w:t>ю:</w:t>
      </w:r>
    </w:p>
    <w:p w:rsidR="00824D50" w:rsidRDefault="008E575F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Внести в приложение 1 «Муниципальная программа Белоярского района «Управление муниципальными финансами в Белоярском районе» (далее – муниципальная программа) к постановлению администрации Белоярского района от 5 декабря 2024 года          № 855 «Об утверждении муниципальной программы Белоярского района «Управление муниципальными финансами в Белоярском районе» следующие изменения:</w:t>
      </w:r>
    </w:p>
    <w:p w:rsidR="00824D50" w:rsidRDefault="008E575F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zh-CN" w:bidi="ar"/>
        </w:rPr>
        <w:t>1) с</w:t>
      </w:r>
      <w:r>
        <w:rPr>
          <w:sz w:val="24"/>
          <w:szCs w:val="24"/>
          <w:lang w:eastAsia="zh-CN" w:bidi="ar"/>
        </w:rPr>
        <w:t xml:space="preserve">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>раздела 1 «Основные положения» Паспорта муниципальной программы Белоярского района «Управление муниципальными финансами в Белоярском районе» (далее – Паспорт муниципальной программы)  изложить в следующей редакции:</w:t>
      </w:r>
    </w:p>
    <w:p w:rsidR="00824D50" w:rsidRDefault="008E575F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6513"/>
      </w:tblGrid>
      <w:tr w:rsidR="00824D50">
        <w:trPr>
          <w:trHeight w:val="818"/>
        </w:trPr>
        <w:tc>
          <w:tcPr>
            <w:tcW w:w="1564" w:type="pct"/>
            <w:tcBorders>
              <w:right w:val="single" w:sz="4" w:space="0" w:color="000000"/>
            </w:tcBorders>
            <w:noWrap/>
            <w:vAlign w:val="center"/>
          </w:tcPr>
          <w:p w:rsidR="00824D50" w:rsidRDefault="008E57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Объемы финансового обеспечения за весь период реализации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24D50" w:rsidRDefault="003D535B" w:rsidP="001F35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1 884 568,3</w:t>
            </w:r>
            <w:r w:rsidR="001F357F">
              <w:rPr>
                <w:sz w:val="24"/>
                <w:szCs w:val="24"/>
                <w:lang w:eastAsia="zh-CN" w:bidi="ar"/>
              </w:rPr>
              <w:t xml:space="preserve"> </w:t>
            </w:r>
            <w:r w:rsidR="008E575F">
              <w:rPr>
                <w:sz w:val="24"/>
                <w:szCs w:val="24"/>
                <w:lang w:eastAsia="zh-CN" w:bidi="ar"/>
              </w:rPr>
              <w:t>тысяч рублей</w:t>
            </w:r>
          </w:p>
        </w:tc>
      </w:tr>
    </w:tbl>
    <w:p w:rsidR="00824D50" w:rsidRDefault="008E575F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:rsidR="00AD29E4" w:rsidRPr="00AD29E4" w:rsidRDefault="00AD29E4" w:rsidP="00AD29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9E4">
        <w:rPr>
          <w:rFonts w:ascii="Times New Roman" w:eastAsia="Times New Roman" w:hAnsi="Times New Roman"/>
          <w:sz w:val="24"/>
          <w:szCs w:val="24"/>
          <w:lang w:eastAsia="ru-RU"/>
        </w:rPr>
        <w:t>позицию 3.2 раздела 3 «Структура муниципальной программы» Паспорта муниципальной программы изложить в следующей редакции:</w:t>
      </w:r>
    </w:p>
    <w:p w:rsidR="00AD29E4" w:rsidRDefault="00AD29E4" w:rsidP="00AD29E4">
      <w:pPr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W w:w="5097" w:type="pct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2676"/>
        <w:gridCol w:w="3841"/>
        <w:gridCol w:w="2451"/>
      </w:tblGrid>
      <w:tr w:rsidR="00AD29E4" w:rsidTr="00AD29E4">
        <w:trPr>
          <w:trHeight w:val="720"/>
          <w:tblHeader/>
          <w:jc w:val="center"/>
        </w:trPr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AD29E4" w:rsidRDefault="00AD29E4" w:rsidP="004246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№</w:t>
            </w:r>
            <w:r>
              <w:rPr>
                <w:color w:val="000000"/>
                <w:lang w:val="en-US" w:eastAsia="zh-CN" w:bidi="ar"/>
              </w:rPr>
              <w:t xml:space="preserve"> п/п</w:t>
            </w:r>
          </w:p>
        </w:tc>
        <w:tc>
          <w:tcPr>
            <w:tcW w:w="1383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AD29E4" w:rsidRDefault="00AD29E4" w:rsidP="0042467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Задачи структурного элемента</w:t>
            </w:r>
          </w:p>
        </w:tc>
        <w:tc>
          <w:tcPr>
            <w:tcW w:w="1985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9E4" w:rsidRDefault="00AD29E4" w:rsidP="0042467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1267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AD29E4" w:rsidRDefault="00AD29E4" w:rsidP="0042467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Связь с показателями</w:t>
            </w:r>
          </w:p>
        </w:tc>
      </w:tr>
      <w:tr w:rsidR="00AD29E4" w:rsidTr="00AD29E4">
        <w:trPr>
          <w:trHeight w:val="300"/>
          <w:tblHeader/>
          <w:jc w:val="center"/>
        </w:trPr>
        <w:tc>
          <w:tcPr>
            <w:tcW w:w="365" w:type="pct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1</w:t>
            </w:r>
          </w:p>
        </w:tc>
        <w:tc>
          <w:tcPr>
            <w:tcW w:w="1383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2</w:t>
            </w:r>
          </w:p>
        </w:tc>
        <w:tc>
          <w:tcPr>
            <w:tcW w:w="1985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3</w:t>
            </w:r>
          </w:p>
        </w:tc>
        <w:tc>
          <w:tcPr>
            <w:tcW w:w="1267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4</w:t>
            </w:r>
          </w:p>
        </w:tc>
      </w:tr>
      <w:tr w:rsidR="00AD29E4" w:rsidTr="00AD29E4">
        <w:trPr>
          <w:trHeight w:val="300"/>
          <w:jc w:val="center"/>
        </w:trPr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3</w:t>
            </w:r>
            <w:r>
              <w:rPr>
                <w:color w:val="000000"/>
                <w:lang w:val="en-US" w:eastAsia="zh-CN" w:bidi="ar"/>
              </w:rPr>
              <w:t>.2</w:t>
            </w:r>
          </w:p>
        </w:tc>
        <w:tc>
          <w:tcPr>
            <w:tcW w:w="4635" w:type="pct"/>
            <w:gridSpan w:val="3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D29E4" w:rsidRDefault="00AD29E4" w:rsidP="00AD29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Комплекс процессных мероприятий «Выравнивание бюджетной обеспеченности  и обеспечение сбалансированности бюджетов поселений в границах Белоярского района»</w:t>
            </w:r>
          </w:p>
        </w:tc>
      </w:tr>
      <w:tr w:rsidR="00AD29E4" w:rsidTr="00AD29E4">
        <w:trPr>
          <w:trHeight w:val="300"/>
          <w:jc w:val="center"/>
        </w:trPr>
        <w:tc>
          <w:tcPr>
            <w:tcW w:w="365" w:type="pct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 </w:t>
            </w:r>
          </w:p>
        </w:tc>
        <w:tc>
          <w:tcPr>
            <w:tcW w:w="1383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:rsidR="00AD29E4" w:rsidRDefault="00AD29E4" w:rsidP="00AD29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Ответственный за реализацию:  Комитет по финансам</w:t>
            </w:r>
          </w:p>
        </w:tc>
        <w:tc>
          <w:tcPr>
            <w:tcW w:w="1985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AD29E4" w:rsidRDefault="00AD29E4" w:rsidP="00AD29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Срок реализации: 2025-2030</w:t>
            </w:r>
          </w:p>
        </w:tc>
        <w:tc>
          <w:tcPr>
            <w:tcW w:w="1267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 </w:t>
            </w:r>
          </w:p>
        </w:tc>
      </w:tr>
      <w:tr w:rsidR="00AD29E4" w:rsidTr="00AD29E4">
        <w:trPr>
          <w:trHeight w:val="2475"/>
          <w:jc w:val="center"/>
        </w:trPr>
        <w:tc>
          <w:tcPr>
            <w:tcW w:w="365" w:type="pct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lastRenderedPageBreak/>
              <w:t>3</w:t>
            </w:r>
            <w:r>
              <w:rPr>
                <w:color w:val="000000"/>
                <w:lang w:val="en-US" w:eastAsia="zh-CN" w:bidi="ar"/>
              </w:rPr>
              <w:t>.2.1</w:t>
            </w:r>
          </w:p>
        </w:tc>
        <w:tc>
          <w:tcPr>
            <w:tcW w:w="138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9E4" w:rsidRDefault="00AD29E4" w:rsidP="00AD29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Поддержание устойчивости исполнения бюджетов поселений в границах Белоярского района</w:t>
            </w:r>
          </w:p>
        </w:tc>
        <w:tc>
          <w:tcPr>
            <w:tcW w:w="1985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AD29E4" w:rsidRDefault="00AD29E4" w:rsidP="0042467F">
            <w:pPr>
              <w:spacing w:after="0" w:line="240" w:lineRule="auto"/>
              <w:rPr>
                <w:color w:val="000000"/>
              </w:rPr>
            </w:pPr>
            <w:r w:rsidRPr="00AD29E4">
              <w:rPr>
                <w:color w:val="000000"/>
                <w:lang w:eastAsia="zh-CN" w:bidi="ar"/>
              </w:rPr>
              <w:t>Выравнивание финансовых возможностей и содействие сбалансированности местных бюджетов</w:t>
            </w:r>
            <w:r>
              <w:rPr>
                <w:color w:val="000000"/>
                <w:lang w:eastAsia="zh-CN" w:bidi="ar"/>
              </w:rPr>
              <w:t xml:space="preserve">, в том числе </w:t>
            </w:r>
            <w:r w:rsidR="0042467F">
              <w:rPr>
                <w:color w:val="000000"/>
                <w:lang w:eastAsia="zh-CN" w:bidi="ar"/>
              </w:rPr>
              <w:t>в</w:t>
            </w:r>
            <w:r>
              <w:rPr>
                <w:color w:val="000000"/>
                <w:lang w:eastAsia="zh-CN" w:bidi="ar"/>
              </w:rPr>
              <w:t>ыравнивание бюджетной обеспеченности и сокращение разрыва в уровне бюджетной обеспеченности  поселений в границах Белоярского района.</w:t>
            </w:r>
          </w:p>
        </w:tc>
        <w:tc>
          <w:tcPr>
            <w:tcW w:w="1267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AD29E4" w:rsidRDefault="00AD29E4" w:rsidP="00AD29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Доля поселений Белоярского района, уровень расчетной бюджетной обеспеченности которых после предоставления дотации на выравнивание бюджетной обеспеченности из бюджета Белоярского района составляет более 90% от установленного критерия выравнивания поселений</w:t>
            </w:r>
          </w:p>
        </w:tc>
      </w:tr>
      <w:tr w:rsidR="00AD29E4" w:rsidTr="00AD29E4">
        <w:trPr>
          <w:trHeight w:val="960"/>
          <w:jc w:val="center"/>
        </w:trPr>
        <w:tc>
          <w:tcPr>
            <w:tcW w:w="365" w:type="pct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3</w:t>
            </w:r>
            <w:r>
              <w:rPr>
                <w:color w:val="000000"/>
                <w:lang w:val="en-US" w:eastAsia="zh-CN" w:bidi="ar"/>
              </w:rPr>
              <w:t>.2.2</w:t>
            </w:r>
          </w:p>
        </w:tc>
        <w:tc>
          <w:tcPr>
            <w:tcW w:w="138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9E4" w:rsidRDefault="00AD29E4" w:rsidP="00AD29E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AD29E4" w:rsidRDefault="00AD29E4" w:rsidP="00AD29E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>Обеспечение сбалансированности бюджетов поселений в границах Белоярского района, предоставление межбюджетных трансфертов на обеспечение сбалансированности бюджетов поселений в границах Белоярского района</w:t>
            </w:r>
          </w:p>
        </w:tc>
        <w:tc>
          <w:tcPr>
            <w:tcW w:w="1267" w:type="pct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AD29E4" w:rsidRDefault="00AD29E4" w:rsidP="00AD29E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 w:eastAsia="zh-CN" w:bidi="ar"/>
              </w:rPr>
              <w:t>-</w:t>
            </w:r>
          </w:p>
        </w:tc>
      </w:tr>
    </w:tbl>
    <w:p w:rsidR="00AD29E4" w:rsidRDefault="0042467F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:rsidR="00824D50" w:rsidRDefault="008E575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постановлению.</w:t>
      </w:r>
    </w:p>
    <w:p w:rsidR="00AD29E4" w:rsidRDefault="00AD29E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позицию 8.1. раздела 4.1 «</w:t>
      </w:r>
      <w:r w:rsidRPr="00AD29E4">
        <w:rPr>
          <w:rFonts w:eastAsia="Times New Roman"/>
          <w:sz w:val="24"/>
          <w:szCs w:val="24"/>
          <w:lang w:eastAsia="ru-RU"/>
        </w:rPr>
        <w:t>Перечень мероприятий муниципальной программы</w:t>
      </w:r>
      <w:r>
        <w:rPr>
          <w:rFonts w:eastAsia="Times New Roman"/>
          <w:sz w:val="24"/>
          <w:szCs w:val="24"/>
          <w:lang w:eastAsia="ru-RU"/>
        </w:rPr>
        <w:t>» Паспорта муниципальной программы изложить в следующей редакции:</w:t>
      </w:r>
    </w:p>
    <w:p w:rsidR="00AD29E4" w:rsidRDefault="00AD29E4" w:rsidP="00AD29E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3762"/>
        <w:gridCol w:w="3803"/>
      </w:tblGrid>
      <w:tr w:rsidR="00AD29E4" w:rsidTr="00AD29E4">
        <w:trPr>
          <w:trHeight w:val="1770"/>
          <w:tblHeader/>
        </w:trPr>
        <w:tc>
          <w:tcPr>
            <w:tcW w:w="1947" w:type="dxa"/>
            <w:vAlign w:val="center"/>
          </w:tcPr>
          <w:p w:rsidR="00AD29E4" w:rsidRPr="0042467F" w:rsidRDefault="00AD29E4" w:rsidP="0042467F">
            <w:pPr>
              <w:spacing w:after="0" w:line="240" w:lineRule="auto"/>
              <w:jc w:val="center"/>
            </w:pPr>
            <w:r w:rsidRPr="0042467F">
              <w:t>№ мероприятия в соответствии с  разделом 4 паспорта муниципальной программы</w:t>
            </w:r>
          </w:p>
        </w:tc>
        <w:tc>
          <w:tcPr>
            <w:tcW w:w="6015" w:type="dxa"/>
            <w:vAlign w:val="center"/>
          </w:tcPr>
          <w:p w:rsidR="00AD29E4" w:rsidRPr="0042467F" w:rsidRDefault="00AD29E4" w:rsidP="0042467F">
            <w:pPr>
              <w:spacing w:after="0" w:line="240" w:lineRule="auto"/>
              <w:jc w:val="center"/>
            </w:pPr>
            <w:r w:rsidRPr="0042467F">
              <w:t>Наименование мероприятия</w:t>
            </w:r>
          </w:p>
        </w:tc>
        <w:tc>
          <w:tcPr>
            <w:tcW w:w="6711" w:type="dxa"/>
            <w:vAlign w:val="center"/>
          </w:tcPr>
          <w:p w:rsidR="00AD29E4" w:rsidRPr="0042467F" w:rsidRDefault="00AD29E4" w:rsidP="0042467F">
            <w:pPr>
              <w:spacing w:after="0" w:line="240" w:lineRule="auto"/>
              <w:jc w:val="center"/>
            </w:pPr>
            <w:r w:rsidRPr="0042467F">
              <w:t>Содержание мероприятия</w:t>
            </w:r>
          </w:p>
        </w:tc>
      </w:tr>
      <w:tr w:rsidR="00AD29E4" w:rsidTr="00AD29E4">
        <w:tc>
          <w:tcPr>
            <w:tcW w:w="1947" w:type="dxa"/>
          </w:tcPr>
          <w:p w:rsidR="00AD29E4" w:rsidRPr="0042467F" w:rsidRDefault="00AD29E4" w:rsidP="0042467F">
            <w:pPr>
              <w:spacing w:after="0" w:line="240" w:lineRule="auto"/>
              <w:jc w:val="center"/>
            </w:pPr>
            <w:r w:rsidRPr="0042467F">
              <w:t>8.1</w:t>
            </w:r>
          </w:p>
        </w:tc>
        <w:tc>
          <w:tcPr>
            <w:tcW w:w="6015" w:type="dxa"/>
          </w:tcPr>
          <w:p w:rsidR="00AD29E4" w:rsidRPr="0042467F" w:rsidRDefault="00AD29E4" w:rsidP="0042467F">
            <w:pPr>
              <w:spacing w:after="0" w:line="240" w:lineRule="auto"/>
              <w:rPr>
                <w:lang w:eastAsia="zh-CN" w:bidi="ar"/>
              </w:rPr>
            </w:pPr>
            <w:r w:rsidRPr="0042467F">
              <w:t>«Выравнивание финансовых возможностей и содействие сбалансированности местных бюджетов»</w:t>
            </w:r>
          </w:p>
        </w:tc>
        <w:tc>
          <w:tcPr>
            <w:tcW w:w="6711" w:type="dxa"/>
          </w:tcPr>
          <w:p w:rsidR="00AD29E4" w:rsidRPr="0042467F" w:rsidRDefault="00AD29E4" w:rsidP="0042467F">
            <w:pPr>
              <w:spacing w:after="0" w:line="240" w:lineRule="auto"/>
              <w:jc w:val="both"/>
            </w:pPr>
            <w:r w:rsidRPr="0042467F">
              <w:t xml:space="preserve">Расчет, организация распределения дотаций на выравнивание бюджетной обеспеченности поселений </w:t>
            </w:r>
            <w:r w:rsidRPr="0042467F">
              <w:rPr>
                <w:color w:val="000000"/>
                <w:lang w:eastAsia="zh-CN" w:bidi="ar"/>
              </w:rPr>
              <w:t>границах Белоярского района</w:t>
            </w:r>
            <w:r w:rsidRPr="0042467F">
              <w:t xml:space="preserve"> из бюджета Белоярского района</w:t>
            </w:r>
          </w:p>
        </w:tc>
      </w:tr>
    </w:tbl>
    <w:p w:rsidR="00AD29E4" w:rsidRDefault="00AD29E4" w:rsidP="00AD29E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:rsidR="00824D50" w:rsidRDefault="008E575F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824D50" w:rsidRDefault="008E575F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824D50" w:rsidRDefault="008E575F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4.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И.А. Плохих.</w:t>
      </w:r>
    </w:p>
    <w:p w:rsidR="00824D50" w:rsidRDefault="00824D50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24D50" w:rsidRDefault="00824D50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24D50" w:rsidRDefault="00824D50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24D50" w:rsidRDefault="008E575F">
      <w:pPr>
        <w:tabs>
          <w:tab w:val="left" w:pos="720"/>
        </w:tabs>
        <w:spacing w:after="0" w:line="240" w:lineRule="auto"/>
        <w:rPr>
          <w:rFonts w:eastAsia="Times New Roman"/>
          <w:sz w:val="24"/>
          <w:szCs w:val="24"/>
          <w:lang w:eastAsia="ru-RU"/>
        </w:rPr>
        <w:sectPr w:rsidR="00824D50">
          <w:headerReference w:type="default" r:id="rId17"/>
          <w:pgSz w:w="11906" w:h="16838"/>
          <w:pgMar w:top="850" w:right="851" w:bottom="1134" w:left="1559" w:header="709" w:footer="709" w:gutter="0"/>
          <w:pgNumType w:start="1"/>
          <w:cols w:space="720"/>
          <w:titlePg/>
          <w:docGrid w:linePitch="360"/>
        </w:sectPr>
      </w:pPr>
      <w:r>
        <w:rPr>
          <w:rFonts w:eastAsia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  С.П.Маненков</w:t>
      </w:r>
    </w:p>
    <w:tbl>
      <w:tblPr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824D50">
        <w:tc>
          <w:tcPr>
            <w:tcW w:w="5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D50" w:rsidRDefault="008E575F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4D50">
        <w:tc>
          <w:tcPr>
            <w:tcW w:w="5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D50" w:rsidRDefault="008E575F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824D50" w:rsidRDefault="008E575F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:rsidR="00824D50" w:rsidRDefault="008E575F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  </w:t>
            </w:r>
            <w:r w:rsidR="001F35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декабря 2025 года № </w:t>
            </w:r>
          </w:p>
        </w:tc>
      </w:tr>
    </w:tbl>
    <w:p w:rsidR="00824D50" w:rsidRDefault="00824D50">
      <w:pPr>
        <w:spacing w:after="0" w:line="240" w:lineRule="auto"/>
        <w:jc w:val="right"/>
        <w:rPr>
          <w:highlight w:val="yellow"/>
        </w:rPr>
      </w:pPr>
    </w:p>
    <w:p w:rsidR="00824D50" w:rsidRDefault="00824D50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24D50" w:rsidRDefault="008E575F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 З М Е Н Е Н И Я,</w:t>
      </w:r>
    </w:p>
    <w:p w:rsidR="00824D50" w:rsidRDefault="008E575F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вносимые в раздел 4 Паспорта муниципальной программы Белоярского района</w:t>
      </w:r>
    </w:p>
    <w:p w:rsidR="00824D50" w:rsidRDefault="008E575F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«Управление муниципальными финансами в Белоярском районе»</w:t>
      </w:r>
    </w:p>
    <w:p w:rsidR="00824D50" w:rsidRDefault="00824D50">
      <w:pPr>
        <w:spacing w:after="0" w:line="240" w:lineRule="auto"/>
        <w:ind w:right="-29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824D50" w:rsidRDefault="008E575F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«4. Финансовое обеспечение муниципальной программы</w:t>
      </w:r>
    </w:p>
    <w:p w:rsidR="00824D50" w:rsidRDefault="00824D50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4440" w:type="dxa"/>
        <w:tblInd w:w="91" w:type="dxa"/>
        <w:tblLook w:val="04A0" w:firstRow="1" w:lastRow="0" w:firstColumn="1" w:lastColumn="0" w:noHBand="0" w:noVBand="1"/>
      </w:tblPr>
      <w:tblGrid>
        <w:gridCol w:w="980"/>
        <w:gridCol w:w="5759"/>
        <w:gridCol w:w="1078"/>
        <w:gridCol w:w="1078"/>
        <w:gridCol w:w="1078"/>
        <w:gridCol w:w="1077"/>
        <w:gridCol w:w="1077"/>
        <w:gridCol w:w="1077"/>
        <w:gridCol w:w="1236"/>
      </w:tblGrid>
      <w:tr w:rsidR="00824D50">
        <w:trPr>
          <w:trHeight w:val="300"/>
          <w:tblHeader/>
        </w:trPr>
        <w:tc>
          <w:tcPr>
            <w:tcW w:w="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val="en-US" w:eastAsia="zh-CN" w:bidi="ar"/>
              </w:rPr>
              <w:t>N п/п</w:t>
            </w:r>
          </w:p>
        </w:tc>
        <w:tc>
          <w:tcPr>
            <w:tcW w:w="57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eastAsia="zh-CN" w:bidi="ar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7701" w:type="dxa"/>
            <w:gridSpan w:val="7"/>
            <w:tcBorders>
              <w:top w:val="single" w:sz="2" w:space="0" w:color="auto"/>
              <w:left w:val="non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eastAsia="zh-CN" w:bidi="ar"/>
              </w:rPr>
              <w:t>Объем финансового обеспечения по годам, тыс. рублей</w:t>
            </w:r>
          </w:p>
        </w:tc>
      </w:tr>
      <w:tr w:rsidR="00824D50">
        <w:trPr>
          <w:trHeight w:val="300"/>
          <w:tblHeader/>
        </w:trPr>
        <w:tc>
          <w:tcPr>
            <w:tcW w:w="9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24D50" w:rsidRPr="008E575F" w:rsidRDefault="00824D50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24D50" w:rsidRPr="008E575F" w:rsidRDefault="00824D50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val="en-US" w:eastAsia="zh-CN" w:bidi="ar"/>
              </w:rPr>
              <w:t>2025 год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val="en-US" w:eastAsia="zh-CN" w:bidi="ar"/>
              </w:rPr>
              <w:t>2026 год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val="en-US" w:eastAsia="zh-CN" w:bidi="ar"/>
              </w:rPr>
              <w:t>2027 год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val="en-US" w:eastAsia="zh-CN" w:bidi="ar"/>
              </w:rPr>
              <w:t>2028</w:t>
            </w:r>
            <w:r w:rsidRPr="008E575F">
              <w:rPr>
                <w:sz w:val="20"/>
                <w:szCs w:val="20"/>
                <w:lang w:eastAsia="zh-CN" w:bidi="ar"/>
              </w:rPr>
              <w:t xml:space="preserve"> год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val="en-US" w:eastAsia="zh-CN" w:bidi="ar"/>
              </w:rPr>
              <w:t>2029</w:t>
            </w:r>
            <w:r w:rsidRPr="008E575F">
              <w:rPr>
                <w:sz w:val="20"/>
                <w:szCs w:val="20"/>
                <w:lang w:eastAsia="zh-CN" w:bidi="ar"/>
              </w:rPr>
              <w:t xml:space="preserve"> год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val="en-US" w:eastAsia="zh-CN" w:bidi="ar"/>
              </w:rPr>
              <w:t>2030</w:t>
            </w:r>
            <w:r w:rsidRPr="008E575F">
              <w:rPr>
                <w:sz w:val="20"/>
                <w:szCs w:val="20"/>
                <w:lang w:eastAsia="zh-CN" w:bidi="ar"/>
              </w:rPr>
              <w:t xml:space="preserve"> год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824D50" w:rsidRPr="008E575F" w:rsidRDefault="008E575F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  <w:lang w:val="en-US" w:eastAsia="zh-CN" w:bidi="ar"/>
              </w:rPr>
              <w:t>Всего</w:t>
            </w:r>
          </w:p>
        </w:tc>
      </w:tr>
      <w:tr w:rsidR="003D535B" w:rsidRPr="003D535B" w:rsidTr="00F229EA">
        <w:trPr>
          <w:trHeight w:val="52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E575F">
              <w:rPr>
                <w:sz w:val="20"/>
                <w:szCs w:val="20"/>
              </w:rPr>
              <w:t> 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Муниципальная программа «Управление муниципальными финансами в Белоярском районе»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D535B">
              <w:rPr>
                <w:sz w:val="20"/>
                <w:szCs w:val="20"/>
              </w:rPr>
              <w:t>446 310,5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276 306,1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355 232,2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268 906,5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268 906,5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268 906,5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1 884 568,3</w:t>
            </w:r>
          </w:p>
        </w:tc>
      </w:tr>
      <w:tr w:rsidR="003D535B" w:rsidRPr="003D535B" w:rsidTr="00F229EA">
        <w:trPr>
          <w:trHeight w:val="26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4 751,7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5 172,1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31 361,8</w:t>
            </w:r>
          </w:p>
        </w:tc>
      </w:tr>
      <w:tr w:rsidR="003D535B" w:rsidRPr="003D535B" w:rsidTr="00F229EA">
        <w:trPr>
          <w:trHeight w:val="101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202 428,3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106 999,7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735 682,8</w:t>
            </w:r>
          </w:p>
        </w:tc>
      </w:tr>
      <w:tr w:rsidR="003D535B" w:rsidRPr="003D535B" w:rsidTr="00F229EA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239 130,5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164 134,3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243 309,0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156 983,3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156 983,3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156 983,3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1 117 523,7</w:t>
            </w:r>
          </w:p>
        </w:tc>
      </w:tr>
      <w:tr w:rsidR="003D535B" w:rsidRPr="003D535B" w:rsidTr="00F229EA">
        <w:trPr>
          <w:trHeight w:val="30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Объем налоговых расходов Белоярского района (справочно)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93 750,0</w:t>
            </w:r>
          </w:p>
        </w:tc>
      </w:tr>
      <w:tr w:rsidR="003D535B" w:rsidRPr="003D535B" w:rsidTr="00F229EA">
        <w:trPr>
          <w:trHeight w:val="4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1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Региональный проект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Развитие экосистемы поддержки гражданских инициатив</w:t>
            </w:r>
            <w:r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44 399,0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44 399,0</w:t>
            </w:r>
          </w:p>
        </w:tc>
      </w:tr>
      <w:tr w:rsidR="003D535B" w:rsidRPr="003D535B" w:rsidTr="00F229E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31 079,3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31 079,3</w:t>
            </w:r>
          </w:p>
        </w:tc>
      </w:tr>
      <w:tr w:rsidR="003D535B" w:rsidRPr="003D535B" w:rsidTr="00F229EA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13 319,7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13 319,7</w:t>
            </w:r>
          </w:p>
        </w:tc>
      </w:tr>
      <w:tr w:rsidR="003D535B" w:rsidRPr="003D535B" w:rsidTr="00F229EA">
        <w:trPr>
          <w:trHeight w:val="5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1.1.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результат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Инициативный проект «Торум Хары» / «Под открытым небом». Благоустройство этнокультурного парка «Ай Курт» в сельском поселении Сосновка, 3 этап</w:t>
            </w:r>
            <w:r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13 995,2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13 995,2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9 796,6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9 796,6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4 198,6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4 198,6</w:t>
            </w:r>
          </w:p>
        </w:tc>
      </w:tr>
      <w:tr w:rsidR="003D535B" w:rsidRPr="003D535B" w:rsidTr="00F229EA">
        <w:trPr>
          <w:trHeight w:val="3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1.2.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результат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Благоустройство общественной территории «Двор мечты - 2 этап</w:t>
            </w:r>
            <w:r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8 186,3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8 186,3</w:t>
            </w:r>
          </w:p>
        </w:tc>
      </w:tr>
      <w:tr w:rsidR="003D535B" w:rsidRPr="003D535B" w:rsidTr="00F229E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5 730,4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5 730,4</w:t>
            </w:r>
          </w:p>
        </w:tc>
      </w:tr>
      <w:tr w:rsidR="003D535B" w:rsidRPr="003D535B" w:rsidTr="00F229EA">
        <w:trPr>
          <w:trHeight w:val="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2 455,9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2 455,9</w:t>
            </w:r>
          </w:p>
        </w:tc>
      </w:tr>
      <w:tr w:rsidR="003D535B" w:rsidRPr="003D535B" w:rsidTr="00F229EA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1.3.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результат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 xml:space="preserve">Ресурс-трек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Траектория гения»: создание креативного пространства возле ресурсного центра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2 533,3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2 533,3</w:t>
            </w:r>
          </w:p>
        </w:tc>
      </w:tr>
      <w:tr w:rsidR="003D535B" w:rsidRPr="003D535B" w:rsidTr="00F229E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1 773,3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1 773,3</w:t>
            </w:r>
          </w:p>
        </w:tc>
      </w:tr>
      <w:tr w:rsidR="003D535B" w:rsidRPr="003D535B" w:rsidTr="00F229EA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760,0</w:t>
            </w:r>
          </w:p>
        </w:tc>
      </w:tr>
      <w:tr w:rsidR="003D535B" w:rsidRPr="003D535B" w:rsidTr="00F229EA">
        <w:trPr>
          <w:trHeight w:val="3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1.4.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результат «Благоустройство центральной площадки в с.Казым. Площадь перед школой «Омащ хар», 2 этап»</w:t>
            </w:r>
            <w:r>
              <w:rPr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14 151,4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14 151,4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9 906,0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9 906,0</w:t>
            </w:r>
          </w:p>
        </w:tc>
      </w:tr>
      <w:tr w:rsidR="003D535B" w:rsidRPr="003D535B" w:rsidTr="00F229EA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4 245,4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4 245,4</w:t>
            </w:r>
          </w:p>
        </w:tc>
      </w:tr>
      <w:tr w:rsidR="003D535B" w:rsidRPr="003D535B" w:rsidTr="00F229EA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1.5.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результат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Обустройство многофункциональной парковой зоны сельского поселения Лыхма «ПАРК «СЕМЕЙНЫЙ» - 5 этап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5 532,8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5 532,8</w:t>
            </w:r>
          </w:p>
        </w:tc>
      </w:tr>
      <w:tr w:rsidR="003D535B" w:rsidRPr="003D535B" w:rsidTr="00F229E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3 873,0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3 873,0</w:t>
            </w:r>
          </w:p>
        </w:tc>
      </w:tr>
      <w:tr w:rsidR="003D535B" w:rsidRPr="003D535B" w:rsidTr="00F229EA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1 659,8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1 659,8</w:t>
            </w:r>
          </w:p>
        </w:tc>
      </w:tr>
      <w:tr w:rsidR="003D535B" w:rsidRPr="003D535B" w:rsidTr="00F229EA">
        <w:trPr>
          <w:trHeight w:val="7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2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Эффективное управление резервными средствами и муниципальным долгом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15 852,1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42 342,3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87 098,2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147 610,1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15 852,1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42 342,3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87 098,2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147 610,1</w:t>
            </w:r>
          </w:p>
        </w:tc>
      </w:tr>
      <w:tr w:rsidR="003D535B" w:rsidRPr="003D535B" w:rsidTr="00F229EA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2.1.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Управление резервными средствами бюджета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15 612,3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42 078,8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86 825,7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146 016,8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15 612,3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42 078,8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86 825,7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146 016,8</w:t>
            </w:r>
          </w:p>
        </w:tc>
      </w:tr>
      <w:tr w:rsidR="003D535B" w:rsidRPr="003D535B" w:rsidTr="00F229EA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2.2.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Обслуживание муниципального долга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1 593,3</w:t>
            </w:r>
          </w:p>
        </w:tc>
      </w:tr>
      <w:tr w:rsidR="003D535B" w:rsidRPr="003D535B" w:rsidTr="00F229EA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1 593,3</w:t>
            </w:r>
          </w:p>
        </w:tc>
      </w:tr>
      <w:tr w:rsidR="003D535B" w:rsidRPr="003D535B" w:rsidTr="00F229EA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2.3.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Планирование ассигнований на погашение долговых обязательств Белоярского района</w:t>
            </w:r>
            <w:r>
              <w:rPr>
                <w:sz w:val="20"/>
                <w:szCs w:val="20"/>
              </w:rPr>
              <w:t>»</w:t>
            </w:r>
            <w:r w:rsidRPr="008E575F">
              <w:rPr>
                <w:sz w:val="20"/>
                <w:szCs w:val="20"/>
              </w:rPr>
              <w:t xml:space="preserve"> &lt;*&gt;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555 893,5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775 947,4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721 788,9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721 788,9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721 788,9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721 788,9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4 218 996,5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555 893,5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775 947,4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721 788,9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721 788,9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721 788,9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721 788,9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4 218 996,5</w:t>
            </w:r>
          </w:p>
        </w:tc>
      </w:tr>
      <w:tr w:rsidR="003D535B" w:rsidRPr="003D535B" w:rsidTr="00F229EA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3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Повышение прозрачности и информационной доступности бюджета и бюджетного процесса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</w:tr>
      <w:tr w:rsidR="003D535B" w:rsidRPr="003D535B" w:rsidTr="00F229EA">
        <w:trPr>
          <w:trHeight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4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Повышение финансовой грамотности на территории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240,0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240,0</w:t>
            </w:r>
          </w:p>
        </w:tc>
      </w:tr>
      <w:tr w:rsidR="003D535B" w:rsidRPr="003D535B" w:rsidTr="00F229EA">
        <w:trPr>
          <w:trHeight w:val="6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4.1.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Финансовая поддержка некоммерческих организаций на реализацию мероприятий, направленных на повышение финансовой грамотности на территории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240,0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240,0</w:t>
            </w:r>
          </w:p>
        </w:tc>
      </w:tr>
      <w:tr w:rsidR="003D535B" w:rsidRPr="003D535B" w:rsidTr="00F229EA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5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Обеспечение деятельности казенного учреждения, осуществляющего полномочия по ведению централизованного бухгалтерского учета и отчетности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30 591,4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167 422,4</w:t>
            </w:r>
          </w:p>
        </w:tc>
      </w:tr>
      <w:tr w:rsidR="003D535B" w:rsidRPr="003D535B" w:rsidTr="00F229EA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30 591,4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27 367,9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167 422,4</w:t>
            </w:r>
          </w:p>
        </w:tc>
      </w:tr>
      <w:tr w:rsidR="003D535B" w:rsidRPr="003D535B" w:rsidTr="00F229EA">
        <w:trPr>
          <w:trHeight w:val="5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6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Обеспечение деятельности органов местного самоуправления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71 340,1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36 254,7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371 998,8</w:t>
            </w:r>
          </w:p>
        </w:tc>
      </w:tr>
      <w:tr w:rsidR="003D535B" w:rsidRPr="003D535B" w:rsidTr="00F229EA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71 340,1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36 254,7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371 998,8</w:t>
            </w:r>
          </w:p>
        </w:tc>
      </w:tr>
      <w:tr w:rsidR="003D535B" w:rsidRPr="003D535B" w:rsidTr="00F229EA">
        <w:trPr>
          <w:trHeight w:val="5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6.1.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Обеспечение выполнения функций управления муниципальными финансами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71 340,1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36 254,7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371 998,8</w:t>
            </w:r>
          </w:p>
        </w:tc>
      </w:tr>
      <w:tr w:rsidR="003D535B" w:rsidRPr="003D535B" w:rsidTr="00F229E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71 340,1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36 254,7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371 998,8</w:t>
            </w:r>
          </w:p>
        </w:tc>
      </w:tr>
      <w:tr w:rsidR="003D535B" w:rsidRPr="003D535B" w:rsidTr="00F229EA">
        <w:trPr>
          <w:trHeight w:val="6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7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Финансовое обеспечение осуществления органами местного самоуправления поселений в границах Белоярского района переданных полномочий</w:t>
            </w:r>
            <w:r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66 179,1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5 205,3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92 955,2</w:t>
            </w:r>
          </w:p>
        </w:tc>
      </w:tr>
      <w:tr w:rsidR="003D535B" w:rsidRPr="003D535B" w:rsidTr="00F229E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4 751,7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5 172,1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31 361,8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61 085,5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61 251,5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341,9</w:t>
            </w:r>
          </w:p>
        </w:tc>
      </w:tr>
      <w:tr w:rsidR="003D535B" w:rsidRPr="003D535B" w:rsidTr="00F229EA">
        <w:trPr>
          <w:trHeight w:val="10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7.1.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Предоставление межбюджетных трансфертов  на финансовое обеспечение осуществления органами местного самоуправления поселений в границах Белоярского района полномочий, переданных органами местного самоуправления Белоярского района на основании соглашений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341,9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341,9</w:t>
            </w:r>
          </w:p>
        </w:tc>
      </w:tr>
      <w:tr w:rsidR="003D535B" w:rsidRPr="003D535B" w:rsidTr="00F229EA">
        <w:trPr>
          <w:trHeight w:val="8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7.2.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Предоставление межбюджетных трансфертов в иных случаях, предусмотренных законами Ханты-Мансийского автономного округа – Югры и муниципальными правовыми актами Белоярского района</w:t>
            </w:r>
            <w:r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61 050,0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61 050,0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61 050,0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61 050,0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</w:tr>
      <w:tr w:rsidR="003D535B" w:rsidRPr="003D535B" w:rsidTr="00F229EA">
        <w:trPr>
          <w:trHeight w:val="2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7.3.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Предоставление межбюджетных трансфертов в форме субвенций на осуществление отдельных государственных полномочий</w:t>
            </w:r>
            <w:r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4 787,2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5 205,3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31 563,3</w:t>
            </w:r>
          </w:p>
        </w:tc>
      </w:tr>
      <w:tr w:rsidR="003D535B" w:rsidRPr="003D535B" w:rsidTr="00F229EA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4 751,7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5 172,1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5 359,5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31 361,8</w:t>
            </w:r>
          </w:p>
        </w:tc>
      </w:tr>
      <w:tr w:rsidR="003D535B" w:rsidRPr="003D535B" w:rsidTr="00F229E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201,5</w:t>
            </w:r>
          </w:p>
        </w:tc>
      </w:tr>
      <w:tr w:rsidR="003D535B" w:rsidRPr="003D535B" w:rsidTr="00F229EA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</w:tr>
      <w:tr w:rsidR="003D535B" w:rsidRPr="003D535B" w:rsidTr="00F229EA">
        <w:trPr>
          <w:trHeight w:val="5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8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Выравнивание бюджетной обеспеченности  и обеспечение сбалансированности бюджетов поселений в границах Белоярского района</w:t>
            </w:r>
            <w:r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215 058,8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165 144,4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169 272,4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169 272,4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169 272,4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169 272,4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1 057 292,8</w:t>
            </w:r>
          </w:p>
        </w:tc>
      </w:tr>
      <w:tr w:rsidR="003D535B" w:rsidRPr="003D535B" w:rsidTr="00F2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110 263,5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106 966,5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643 352,0</w:t>
            </w:r>
          </w:p>
        </w:tc>
      </w:tr>
      <w:tr w:rsidR="003D535B" w:rsidRPr="003D535B" w:rsidTr="00F229EA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104 795,3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58 177,9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62 741,9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62 741,9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62 741,9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62 741,9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413 940,8</w:t>
            </w:r>
          </w:p>
        </w:tc>
      </w:tr>
      <w:tr w:rsidR="003D535B" w:rsidRPr="003D535B" w:rsidTr="00F229EA">
        <w:trPr>
          <w:trHeight w:val="4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8.1.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«Выравнивание финансовых возможностей и содействие сбалансированности местных бюджетов» (всего), в том числе: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134 448,1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131 356,3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131 160,5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131 160,5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131 160,5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131 160,5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790 446,4</w:t>
            </w:r>
          </w:p>
        </w:tc>
      </w:tr>
      <w:tr w:rsidR="003D535B" w:rsidRPr="003D535B" w:rsidTr="00F229EA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110 263,5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106 966,5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106 530,5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643 352,0</w:t>
            </w:r>
          </w:p>
        </w:tc>
      </w:tr>
      <w:tr w:rsidR="003D535B" w:rsidRPr="003D535B" w:rsidTr="00F229E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24 184,6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24 389,8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24 630,0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24 630,0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24 630,0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24 630,0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147 094,4</w:t>
            </w:r>
          </w:p>
        </w:tc>
      </w:tr>
      <w:tr w:rsidR="003D535B" w:rsidRPr="003D535B" w:rsidTr="00F229EA">
        <w:trPr>
          <w:trHeight w:val="4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8.2.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 xml:space="preserve"> «</w:t>
            </w:r>
            <w:r w:rsidRPr="008E575F">
              <w:rPr>
                <w:sz w:val="20"/>
                <w:szCs w:val="20"/>
              </w:rPr>
              <w:t>Обеспечение сбалансированности бюджетов поселений в границах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80 610,7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33 788,1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38 111,9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38 111,9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38 111,9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38 111,9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266 846,4</w:t>
            </w:r>
          </w:p>
        </w:tc>
      </w:tr>
      <w:tr w:rsidR="003D535B" w:rsidRPr="003D535B" w:rsidTr="00F229EA">
        <w:trPr>
          <w:trHeight w:val="2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ХМАО-Югры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</w:tr>
      <w:tr w:rsidR="003D535B" w:rsidRPr="003D535B" w:rsidTr="00F229EA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80 610,7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33 788,1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38 111,9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38 111,9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38 111,9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38 111,9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266 846,4</w:t>
            </w:r>
          </w:p>
        </w:tc>
      </w:tr>
      <w:tr w:rsidR="003D535B" w:rsidRPr="003D535B" w:rsidTr="00F229EA">
        <w:trPr>
          <w:trHeight w:val="2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Содействие повышению эффективности деятельности органов местного самоуправления и качества управления муниципальными финансами в поселениях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2 650,0</w:t>
            </w:r>
          </w:p>
        </w:tc>
      </w:tr>
      <w:tr w:rsidR="003D535B" w:rsidRPr="003D535B" w:rsidTr="00F229EA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2 650,0</w:t>
            </w:r>
          </w:p>
        </w:tc>
      </w:tr>
      <w:tr w:rsidR="003D535B" w:rsidRPr="003D535B" w:rsidTr="00F229EA">
        <w:trPr>
          <w:trHeight w:val="9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Предоставление иных межбюджетных трансфертов на поощрение достижения наилучших показателей деятельности органов местного самоуправления поселений Белоярского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2 450,0</w:t>
            </w:r>
          </w:p>
        </w:tc>
      </w:tr>
      <w:tr w:rsidR="003D535B" w:rsidRPr="003D535B" w:rsidTr="00F229EA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2 450,0</w:t>
            </w:r>
          </w:p>
        </w:tc>
      </w:tr>
      <w:tr w:rsidR="003D535B" w:rsidRPr="003D535B" w:rsidTr="00F229EA">
        <w:trPr>
          <w:trHeight w:val="2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«</w:t>
            </w:r>
            <w:r w:rsidRPr="008E575F">
              <w:rPr>
                <w:sz w:val="20"/>
                <w:szCs w:val="20"/>
              </w:rPr>
              <w:t>Предоставление иных межбюджетных трансфертов на поощрение за достижение высоких показателей качества организации и осуществления бюджетного процесса по результатом оценок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200,0</w:t>
            </w:r>
          </w:p>
        </w:tc>
      </w:tr>
      <w:tr w:rsidR="003D535B" w:rsidRPr="003D535B" w:rsidTr="00F229EA">
        <w:trPr>
          <w:trHeight w:val="26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35B" w:rsidRPr="008E575F" w:rsidRDefault="003D535B" w:rsidP="003D535B">
            <w:pPr>
              <w:spacing w:after="0" w:line="240" w:lineRule="auto"/>
              <w:rPr>
                <w:sz w:val="20"/>
                <w:szCs w:val="20"/>
              </w:rPr>
            </w:pPr>
            <w:r w:rsidRPr="008E575F">
              <w:rPr>
                <w:sz w:val="20"/>
                <w:szCs w:val="20"/>
              </w:rPr>
              <w:t>бюджет Белоярского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35B" w:rsidRPr="003D535B" w:rsidRDefault="003D535B" w:rsidP="003D5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535B">
              <w:rPr>
                <w:sz w:val="20"/>
                <w:szCs w:val="20"/>
              </w:rPr>
              <w:t>200,0</w:t>
            </w:r>
          </w:p>
        </w:tc>
      </w:tr>
      <w:tr w:rsidR="001F357F">
        <w:trPr>
          <w:trHeight w:val="580"/>
        </w:trPr>
        <w:tc>
          <w:tcPr>
            <w:tcW w:w="14440" w:type="dxa"/>
            <w:gridSpan w:val="9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F357F" w:rsidRDefault="001F357F" w:rsidP="001F357F">
            <w:pPr>
              <w:rPr>
                <w:sz w:val="18"/>
                <w:szCs w:val="18"/>
                <w:lang w:eastAsia="zh-CN" w:bidi="ar"/>
              </w:rPr>
            </w:pPr>
            <w:r>
              <w:rPr>
                <w:sz w:val="18"/>
                <w:szCs w:val="18"/>
                <w:lang w:eastAsia="zh-CN" w:bidi="ar"/>
              </w:rPr>
              <w:t>&lt;*&gt; бюджетные ассигнования отражены в источниках финансирования дефицита бюджета Белоярского района, в связи с чем, в итоговых суммах финансирования по муниципальной программе не учитываются.</w:t>
            </w:r>
          </w:p>
          <w:p w:rsidR="001F357F" w:rsidRDefault="001F357F" w:rsidP="001F35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».</w:t>
            </w:r>
          </w:p>
        </w:tc>
      </w:tr>
    </w:tbl>
    <w:p w:rsidR="00824D50" w:rsidRDefault="00824D50">
      <w:pPr>
        <w:spacing w:after="160" w:line="259" w:lineRule="auto"/>
        <w:jc w:val="right"/>
      </w:pPr>
    </w:p>
    <w:p w:rsidR="00824D50" w:rsidRDefault="008E575F">
      <w:pPr>
        <w:spacing w:after="160" w:line="259" w:lineRule="auto"/>
        <w:jc w:val="center"/>
      </w:pPr>
      <w:r>
        <w:t>________________</w:t>
      </w:r>
    </w:p>
    <w:sectPr w:rsidR="00824D50">
      <w:headerReference w:type="default" r:id="rId18"/>
      <w:headerReference w:type="first" r:id="rId19"/>
      <w:pgSz w:w="16838" w:h="11905" w:orient="landscape"/>
      <w:pgMar w:top="992" w:right="1134" w:bottom="850" w:left="1134" w:header="18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E4" w:rsidRDefault="00AD29E4">
      <w:pPr>
        <w:spacing w:after="0" w:line="240" w:lineRule="auto"/>
      </w:pPr>
      <w:r>
        <w:separator/>
      </w:r>
    </w:p>
  </w:endnote>
  <w:endnote w:type="continuationSeparator" w:id="0">
    <w:p w:rsidR="00AD29E4" w:rsidRDefault="00AD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E4" w:rsidRDefault="00AD29E4">
      <w:pPr>
        <w:spacing w:after="0" w:line="240" w:lineRule="auto"/>
      </w:pPr>
      <w:r>
        <w:separator/>
      </w:r>
    </w:p>
  </w:footnote>
  <w:footnote w:type="continuationSeparator" w:id="0">
    <w:p w:rsidR="00AD29E4" w:rsidRDefault="00AD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E4" w:rsidRDefault="00AD29E4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D34B48">
      <w:rPr>
        <w:noProof/>
      </w:rPr>
      <w:t>2</w:t>
    </w:r>
    <w:r>
      <w:fldChar w:fldCharType="end"/>
    </w:r>
  </w:p>
  <w:p w:rsidR="00AD29E4" w:rsidRDefault="00AD29E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E4" w:rsidRDefault="00AD29E4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t>5</w:t>
    </w:r>
    <w:r>
      <w:fldChar w:fldCharType="end"/>
    </w:r>
  </w:p>
  <w:p w:rsidR="00AD29E4" w:rsidRDefault="00AD29E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E4" w:rsidRDefault="00AD29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4511"/>
    <w:multiLevelType w:val="hybridMultilevel"/>
    <w:tmpl w:val="BA862840"/>
    <w:lvl w:ilvl="0" w:tplc="7BFAA8F4">
      <w:start w:val="4"/>
      <w:numFmt w:val="decimal"/>
      <w:suff w:val="space"/>
      <w:lvlText w:val="%1."/>
      <w:lvlJc w:val="left"/>
    </w:lvl>
    <w:lvl w:ilvl="1" w:tplc="1FFEB7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04F9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883B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866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1E42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0CA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46F6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7E29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6D6122"/>
    <w:multiLevelType w:val="hybridMultilevel"/>
    <w:tmpl w:val="436E5130"/>
    <w:lvl w:ilvl="0" w:tplc="FCD88F38">
      <w:start w:val="2"/>
      <w:numFmt w:val="decimal"/>
      <w:suff w:val="space"/>
      <w:lvlText w:val="%1)"/>
      <w:lvlJc w:val="left"/>
    </w:lvl>
    <w:lvl w:ilvl="1" w:tplc="D76277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8630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0FC51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92A7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B895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428B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407E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AA8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69373C4"/>
    <w:multiLevelType w:val="hybridMultilevel"/>
    <w:tmpl w:val="D01EC6D6"/>
    <w:lvl w:ilvl="0" w:tplc="71B238AA">
      <w:start w:val="3"/>
      <w:numFmt w:val="decimal"/>
      <w:suff w:val="space"/>
      <w:lvlText w:val="%1."/>
      <w:lvlJc w:val="left"/>
    </w:lvl>
    <w:lvl w:ilvl="1" w:tplc="413AC2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ACFE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5E57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2042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28D1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A265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C6A3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BE74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B0F4D35"/>
    <w:multiLevelType w:val="hybridMultilevel"/>
    <w:tmpl w:val="51A21B10"/>
    <w:lvl w:ilvl="0" w:tplc="7CEA9E02">
      <w:start w:val="4"/>
      <w:numFmt w:val="decimal"/>
      <w:suff w:val="space"/>
      <w:lvlText w:val="%1."/>
      <w:lvlJc w:val="left"/>
    </w:lvl>
    <w:lvl w:ilvl="1" w:tplc="2132CC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CA9A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7A22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1A1B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E655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8CC8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C46B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BE0F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356338"/>
    <w:multiLevelType w:val="hybridMultilevel"/>
    <w:tmpl w:val="68DE8062"/>
    <w:lvl w:ilvl="0" w:tplc="CCC8B774">
      <w:start w:val="1"/>
      <w:numFmt w:val="decimal"/>
      <w:lvlText w:val="%1)"/>
      <w:lvlJc w:val="left"/>
      <w:pPr>
        <w:ind w:left="1429" w:hanging="360"/>
      </w:pPr>
    </w:lvl>
    <w:lvl w:ilvl="1" w:tplc="871CE512">
      <w:start w:val="1"/>
      <w:numFmt w:val="lowerLetter"/>
      <w:lvlText w:val="%2."/>
      <w:lvlJc w:val="left"/>
      <w:pPr>
        <w:ind w:left="2149" w:hanging="360"/>
      </w:pPr>
    </w:lvl>
    <w:lvl w:ilvl="2" w:tplc="9B64C258">
      <w:start w:val="1"/>
      <w:numFmt w:val="lowerRoman"/>
      <w:lvlText w:val="%3."/>
      <w:lvlJc w:val="right"/>
      <w:pPr>
        <w:ind w:left="2869" w:hanging="180"/>
      </w:pPr>
    </w:lvl>
    <w:lvl w:ilvl="3" w:tplc="4F26B360">
      <w:start w:val="1"/>
      <w:numFmt w:val="decimal"/>
      <w:lvlText w:val="%4."/>
      <w:lvlJc w:val="left"/>
      <w:pPr>
        <w:ind w:left="3589" w:hanging="360"/>
      </w:pPr>
    </w:lvl>
    <w:lvl w:ilvl="4" w:tplc="EB9C5CE2">
      <w:start w:val="1"/>
      <w:numFmt w:val="lowerLetter"/>
      <w:lvlText w:val="%5."/>
      <w:lvlJc w:val="left"/>
      <w:pPr>
        <w:ind w:left="4309" w:hanging="360"/>
      </w:pPr>
    </w:lvl>
    <w:lvl w:ilvl="5" w:tplc="BE28B040">
      <w:start w:val="1"/>
      <w:numFmt w:val="lowerRoman"/>
      <w:lvlText w:val="%6."/>
      <w:lvlJc w:val="right"/>
      <w:pPr>
        <w:ind w:left="5029" w:hanging="180"/>
      </w:pPr>
    </w:lvl>
    <w:lvl w:ilvl="6" w:tplc="22EE6814">
      <w:start w:val="1"/>
      <w:numFmt w:val="decimal"/>
      <w:lvlText w:val="%7."/>
      <w:lvlJc w:val="left"/>
      <w:pPr>
        <w:ind w:left="5749" w:hanging="360"/>
      </w:pPr>
    </w:lvl>
    <w:lvl w:ilvl="7" w:tplc="1FB85DC0">
      <w:start w:val="1"/>
      <w:numFmt w:val="lowerLetter"/>
      <w:lvlText w:val="%8."/>
      <w:lvlJc w:val="left"/>
      <w:pPr>
        <w:ind w:left="6469" w:hanging="360"/>
      </w:pPr>
    </w:lvl>
    <w:lvl w:ilvl="8" w:tplc="F0AA47D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0E761C"/>
    <w:multiLevelType w:val="hybridMultilevel"/>
    <w:tmpl w:val="E43EBAE4"/>
    <w:lvl w:ilvl="0" w:tplc="65D07290">
      <w:start w:val="4"/>
      <w:numFmt w:val="decimal"/>
      <w:suff w:val="space"/>
      <w:lvlText w:val="%1."/>
      <w:lvlJc w:val="left"/>
    </w:lvl>
    <w:lvl w:ilvl="1" w:tplc="69B0DD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E04C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9A10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4EFC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EC22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7C58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4602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166B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BB10384"/>
    <w:multiLevelType w:val="hybridMultilevel"/>
    <w:tmpl w:val="2884AA26"/>
    <w:lvl w:ilvl="0" w:tplc="14429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50CE9A2">
      <w:start w:val="1"/>
      <w:numFmt w:val="lowerLetter"/>
      <w:lvlText w:val="%2."/>
      <w:lvlJc w:val="left"/>
      <w:pPr>
        <w:ind w:left="1789" w:hanging="360"/>
      </w:pPr>
    </w:lvl>
    <w:lvl w:ilvl="2" w:tplc="A3822FF0">
      <w:start w:val="1"/>
      <w:numFmt w:val="lowerRoman"/>
      <w:lvlText w:val="%3."/>
      <w:lvlJc w:val="right"/>
      <w:pPr>
        <w:ind w:left="2509" w:hanging="180"/>
      </w:pPr>
    </w:lvl>
    <w:lvl w:ilvl="3" w:tplc="928457D6">
      <w:start w:val="1"/>
      <w:numFmt w:val="decimal"/>
      <w:lvlText w:val="%4."/>
      <w:lvlJc w:val="left"/>
      <w:pPr>
        <w:ind w:left="3229" w:hanging="360"/>
      </w:pPr>
    </w:lvl>
    <w:lvl w:ilvl="4" w:tplc="36A6D048">
      <w:start w:val="1"/>
      <w:numFmt w:val="lowerLetter"/>
      <w:lvlText w:val="%5."/>
      <w:lvlJc w:val="left"/>
      <w:pPr>
        <w:ind w:left="3949" w:hanging="360"/>
      </w:pPr>
    </w:lvl>
    <w:lvl w:ilvl="5" w:tplc="F88222CE">
      <w:start w:val="1"/>
      <w:numFmt w:val="lowerRoman"/>
      <w:lvlText w:val="%6."/>
      <w:lvlJc w:val="right"/>
      <w:pPr>
        <w:ind w:left="4669" w:hanging="180"/>
      </w:pPr>
    </w:lvl>
    <w:lvl w:ilvl="6" w:tplc="ABCEA0D4">
      <w:start w:val="1"/>
      <w:numFmt w:val="decimal"/>
      <w:lvlText w:val="%7."/>
      <w:lvlJc w:val="left"/>
      <w:pPr>
        <w:ind w:left="5389" w:hanging="360"/>
      </w:pPr>
    </w:lvl>
    <w:lvl w:ilvl="7" w:tplc="891A476A">
      <w:start w:val="1"/>
      <w:numFmt w:val="lowerLetter"/>
      <w:lvlText w:val="%8."/>
      <w:lvlJc w:val="left"/>
      <w:pPr>
        <w:ind w:left="6109" w:hanging="360"/>
      </w:pPr>
    </w:lvl>
    <w:lvl w:ilvl="8" w:tplc="2F4E27D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50"/>
    <w:rsid w:val="001F357F"/>
    <w:rsid w:val="003D535B"/>
    <w:rsid w:val="0042467F"/>
    <w:rsid w:val="00824D50"/>
    <w:rsid w:val="008E575F"/>
    <w:rsid w:val="00AD29E4"/>
    <w:rsid w:val="00D3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9CFBB-C31A-420C-97F3-CCF7330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160" w:line="256" w:lineRule="auto"/>
      <w:ind w:left="720"/>
      <w:contextualSpacing/>
    </w:pPr>
    <w:rPr>
      <w:rFonts w:ascii="Calibri" w:eastAsia="Calibri" w:hAnsi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rPr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Pr>
      <w:sz w:val="28"/>
      <w:szCs w:val="28"/>
      <w:lang w:val="ru-RU" w:eastAsia="ru-RU" w:bidi="ar-SA"/>
    </w:rPr>
  </w:style>
  <w:style w:type="character" w:styleId="afb">
    <w:name w:val="FollowedHyperlink"/>
    <w:uiPriority w:val="99"/>
    <w:unhideWhenUsed/>
    <w:rPr>
      <w:color w:val="800080"/>
      <w:u w:val="single"/>
    </w:rPr>
  </w:style>
  <w:style w:type="character" w:styleId="afc">
    <w:name w:val="annotation reference"/>
    <w:uiPriority w:val="99"/>
    <w:rPr>
      <w:sz w:val="16"/>
      <w:szCs w:val="16"/>
    </w:rPr>
  </w:style>
  <w:style w:type="paragraph" w:styleId="afd">
    <w:name w:val="Balloon Text"/>
    <w:basedOn w:val="a"/>
    <w:link w:val="afe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34">
    <w:name w:val="Основной текст с отступом 3 Знак"/>
    <w:link w:val="33"/>
    <w:rPr>
      <w:rFonts w:eastAsia="Calibri"/>
      <w:sz w:val="24"/>
      <w:szCs w:val="24"/>
      <w:lang w:val="ru-RU" w:eastAsia="ru-RU" w:bidi="ar-SA"/>
    </w:rPr>
  </w:style>
  <w:style w:type="paragraph" w:styleId="aff">
    <w:name w:val="annotation text"/>
    <w:basedOn w:val="a"/>
    <w:link w:val="aff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f0">
    <w:name w:val="Текст примечания Знак"/>
    <w:link w:val="aff"/>
    <w:rPr>
      <w:rFonts w:ascii="Times New Roman" w:eastAsia="Times New Roman" w:hAnsi="Times New Roman"/>
    </w:rPr>
  </w:style>
  <w:style w:type="paragraph" w:styleId="aff1">
    <w:name w:val="annotation subject"/>
    <w:basedOn w:val="aff"/>
    <w:next w:val="aff"/>
    <w:link w:val="aff2"/>
    <w:uiPriority w:val="99"/>
    <w:unhideWhenUsed/>
    <w:pPr>
      <w:spacing w:after="200" w:line="276" w:lineRule="auto"/>
    </w:pPr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rFonts w:ascii="Times New Roman" w:eastAsia="Times New Roman" w:hAnsi="Times New Roman"/>
      <w:b/>
      <w:bCs/>
      <w:lang w:eastAsia="en-US"/>
    </w:rPr>
  </w:style>
  <w:style w:type="character" w:customStyle="1" w:styleId="af4">
    <w:name w:val="Текст сноски Знак"/>
    <w:link w:val="af3"/>
    <w:uiPriority w:val="99"/>
    <w:semiHidden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  <w:lang w:eastAsia="ru-RU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font61">
    <w:name w:val="font6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  <w:style w:type="character" w:customStyle="1" w:styleId="font51">
    <w:name w:val="font51"/>
    <w:rPr>
      <w:rFonts w:ascii="Times New Roman" w:hAnsi="Times New Roman" w:cs="Times New Roman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1884</Words>
  <Characters>10741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*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RePack by Diakov</cp:lastModifiedBy>
  <cp:revision>2</cp:revision>
  <cp:lastPrinted>2025-12-17T04:39:00Z</cp:lastPrinted>
  <dcterms:created xsi:type="dcterms:W3CDTF">2025-12-19T10:16:00Z</dcterms:created>
  <dcterms:modified xsi:type="dcterms:W3CDTF">2025-12-19T10:16:00Z</dcterms:modified>
  <cp:version>1048576</cp:version>
</cp:coreProperties>
</file>