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inline distT="0" distB="0" distL="114300" distR="114300">
            <wp:extent cx="641985" cy="885190"/>
            <wp:effectExtent l="0" t="0" r="5715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>
      <w:pPr>
        <w:pStyle w:val="4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ХАНТЫ-МАНСИЙСКИЙ АВТОНОМНЫЙ ОКРУГ - ЮГРА</w:t>
      </w: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pStyle w:val="2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3"/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bCs/>
          <w:szCs w:val="24"/>
        </w:rPr>
        <w:t>Проект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2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pStyle w:val="8"/>
        <w:spacing w:after="0" w:line="240" w:lineRule="auto"/>
        <w:rPr>
          <w:rFonts w:ascii="Times New Roman" w:hAnsi="Times New Roman"/>
          <w:szCs w:val="24"/>
        </w:rPr>
      </w:pPr>
    </w:p>
    <w:p>
      <w:pPr>
        <w:pStyle w:val="8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от «___» декабря 2024 года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№ ____</w:t>
      </w:r>
    </w:p>
    <w:p>
      <w:pPr>
        <w:pStyle w:val="8"/>
        <w:spacing w:after="0" w:line="240" w:lineRule="auto"/>
        <w:rPr>
          <w:rFonts w:ascii="Times New Roman" w:hAnsi="Times New Roman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утвержден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ии муниципальной программы Белоярского района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постановлением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«О Перечне муниципальных программ Белоярского района» п о с т а н о в л я ю: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прилагаемую муниципальную программу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объектах».</w:t>
      </w:r>
    </w:p>
    <w:p>
      <w:pPr>
        <w:pStyle w:val="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 опубликования, но не ранее 1 января 2025 года.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 А.В.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13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ind w:firstLine="0"/>
        <w:jc w:val="both"/>
        <w:outlineLvl w:val="2"/>
        <w:rPr>
          <w:sz w:val="24"/>
          <w:szCs w:val="24"/>
        </w:rPr>
        <w:sectPr>
          <w:headerReference r:id="rId5" w:type="default"/>
          <w:pgSz w:w="11906" w:h="16838"/>
          <w:pgMar w:top="1134" w:right="850" w:bottom="1576" w:left="1701" w:header="708" w:footer="709" w:gutter="0"/>
          <w:cols w:space="0" w:num="1"/>
          <w:titlePg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>
      <w:pPr>
        <w:pStyle w:val="13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5381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>
      <w:pPr>
        <w:spacing w:after="0"/>
        <w:ind w:left="538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>
      <w:pPr>
        <w:spacing w:after="0"/>
        <w:ind w:left="538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Белоярского района</w:t>
      </w:r>
    </w:p>
    <w:p>
      <w:pPr>
        <w:spacing w:after="0"/>
        <w:ind w:left="538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от _______________ № _______</w:t>
      </w:r>
    </w:p>
    <w:p>
      <w:pPr>
        <w:pStyle w:val="13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</w:t>
      </w:r>
    </w:p>
    <w:p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Белоярского района </w:t>
      </w: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</w:t>
      </w:r>
    </w:p>
    <w:p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муниципальная программа)</w:t>
      </w:r>
    </w:p>
    <w:p>
      <w:pPr>
        <w:pStyle w:val="13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 w:eastAsiaTheme="minorHAnsi"/>
          <w:sz w:val="24"/>
          <w:szCs w:val="24"/>
          <w:lang w:val="en-US"/>
        </w:rPr>
      </w:pPr>
      <w:r>
        <w:rPr>
          <w:rFonts w:ascii="Times New Roman" w:hAnsi="Times New Roman" w:eastAsiaTheme="minorHAnsi"/>
          <w:sz w:val="24"/>
          <w:szCs w:val="24"/>
        </w:rPr>
        <w:t>1. Основные положения</w:t>
      </w:r>
    </w:p>
    <w:tbl>
      <w:tblPr>
        <w:tblStyle w:val="6"/>
        <w:tblW w:w="15310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575"/>
        <w:gridCol w:w="773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textAlignment w:val="bottom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Первый заместитель главы Белоярского района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textAlignment w:val="bottom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Отдел по делам гражданской обороны и чрезвычайным ситуациям администрации Белоярского района (далее – отдел ГО и ЧС)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textAlignment w:val="bottom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2025-2030</w:t>
            </w: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 годы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72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Цель 1 «Повышение уровня защиты населения и территории Белоярского района от угроз природного, техногенного  характера и пожарной безопасности»;</w:t>
            </w:r>
          </w:p>
          <w:p>
            <w:pPr>
              <w:spacing w:after="0" w:line="240" w:lineRule="auto"/>
              <w:textAlignment w:val="top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Цель 2 «Обеспечение безопасности населения Белоярского района в местах массового отдыха на водных объектах»;</w:t>
            </w:r>
          </w:p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/>
              </w:rPr>
              <w:t>Цель 3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района».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Theme="minorHAnsi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4"/>
                <w:szCs w:val="24"/>
                <w:lang w:val="en-US"/>
              </w:rPr>
              <w:t>-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130 728,1 тысяч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1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Государственная программа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2. Показатели муниципальной программы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</w:p>
    <w:tbl>
      <w:tblPr>
        <w:tblStyle w:val="6"/>
        <w:tblW w:w="15244" w:type="dxa"/>
        <w:tblInd w:w="-86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697"/>
        <w:gridCol w:w="1113"/>
        <w:gridCol w:w="1037"/>
        <w:gridCol w:w="673"/>
        <w:gridCol w:w="644"/>
        <w:gridCol w:w="644"/>
        <w:gridCol w:w="644"/>
        <w:gridCol w:w="644"/>
        <w:gridCol w:w="644"/>
        <w:gridCol w:w="644"/>
        <w:gridCol w:w="2160"/>
        <w:gridCol w:w="1627"/>
        <w:gridCol w:w="1558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3" w:hRule="atLeast"/>
          <w:tblHeader/>
        </w:trPr>
        <w:tc>
          <w:tcPr>
            <w:tcW w:w="5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Единица измерения (по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ОКЕИ) </w:t>
            </w: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86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1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45" w:hRule="atLeast"/>
          <w:tblHeader/>
        </w:trPr>
        <w:tc>
          <w:tcPr>
            <w:tcW w:w="5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1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15" w:hRule="atLeast"/>
          <w:tblHeader/>
        </w:trPr>
        <w:tc>
          <w:tcPr>
            <w:tcW w:w="5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Цель 1. «Повышение уровня защиты населения и территории Белоярского района от угроз природного, техногенного  характера и пожарной безопасности».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процент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Постановление администрации Белоярского района №1300 от 22.09.2014 года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отдел ГО и ЧС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381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Доля населения Белоярского района прошедшего обучение в области гражданской обороны, защиты от чрезвычайных ситуаций и пожарной безопасности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процент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</w:rPr>
              <w:t>Методические рекомендации МЧС России от 17.06.2016 N 2-4-71-34-11</w:t>
            </w:r>
          </w:p>
          <w:p>
            <w:pPr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отдел ГО и ЧС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единиц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Закон ХМАО - Югры от 23.12.2016 №102-оз «О наделении органов местного самоуправления муниципальных образований ХМАО - Югры отдельными государственными полномочиями по организации осуществлении мероприятий по проведению дезинсекции и дератизации в ХМАО - Югре»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отдел ГО и ЧС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Цель 2. «Обеспечение безопасности населения Белоярского района в местах массового отдыха на водных объектах».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Количество происшествий в период работы городского пляжа озера Нешинелор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единиц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20"/>
                <w:szCs w:val="20"/>
                <w:lang w:val="en-US" w:eastAsia="zh-CN" w:bidi="ar"/>
              </w:rPr>
              <w:t>≦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20"/>
                <w:szCs w:val="20"/>
                <w:lang w:val="en-US" w:eastAsia="zh-CN" w:bidi="ar"/>
              </w:rPr>
              <w:t>≦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20"/>
                <w:szCs w:val="20"/>
                <w:lang w:val="en-US" w:eastAsia="zh-CN" w:bidi="ar"/>
              </w:rPr>
              <w:t>≦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20"/>
                <w:szCs w:val="20"/>
                <w:lang w:val="en-US" w:eastAsia="zh-CN" w:bidi="ar"/>
              </w:rPr>
              <w:t>≦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20"/>
                <w:szCs w:val="20"/>
                <w:lang w:val="en-US" w:eastAsia="zh-CN" w:bidi="ar"/>
              </w:rPr>
              <w:t>≦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20"/>
                <w:szCs w:val="20"/>
                <w:lang w:val="en-US" w:eastAsia="zh-CN" w:bidi="ar"/>
              </w:rPr>
              <w:t>≦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r>
              <w:rPr>
                <w:rFonts w:ascii="Times New Roman" w:hAnsi="Times New Roman" w:eastAsia="SimSun"/>
                <w:color w:val="000000"/>
                <w:sz w:val="20"/>
                <w:szCs w:val="20"/>
                <w:highlight w:val="none"/>
                <w:lang w:val="ru-RU" w:eastAsia="zh-CN" w:bidi="ar"/>
              </w:rPr>
              <w:t>Постановление</w:t>
            </w:r>
            <w:r>
              <w:rPr>
                <w:rFonts w:hint="default" w:ascii="Times New Roman" w:hAnsi="Times New Roman" w:eastAsia="SimSun"/>
                <w:color w:val="000000"/>
                <w:sz w:val="20"/>
                <w:szCs w:val="20"/>
                <w:highlight w:val="none"/>
                <w:lang w:val="ru-RU" w:eastAsia="zh-CN" w:bidi="ar"/>
              </w:rPr>
              <w:t xml:space="preserve"> Правительства Российской Федерации от 29.04.1995 №444 «</w:t>
            </w:r>
            <w:r>
              <w:rPr>
                <w:rFonts w:hint="default" w:ascii="Times New Roman" w:hAnsi="Times New Roman" w:eastAsia="SimSun"/>
                <w:color w:val="00000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/>
                <w:color w:val="000000"/>
                <w:sz w:val="20"/>
                <w:szCs w:val="20"/>
                <w:highlight w:val="none"/>
                <w:lang w:val="ru-RU" w:eastAsia="zh-CN" w:bidi="ar"/>
              </w:rPr>
              <w:t>О подготовке ежегодного государственного доклада о состоянии защиты населения и территорий Российской Федерации от чрезвычайных ситуаций природного и техногенного характера»</w:t>
            </w:r>
            <w:bookmarkEnd w:id="0"/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отдел ГО и ЧС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Цель 3.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района»».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балл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2024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ru-RU" w:eastAsia="ru-RU"/>
              </w:rPr>
              <w:t>ГОСТ</w:t>
            </w:r>
            <w:r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 xml:space="preserve"> Р 22.7.01-2021 «Безопасность в чрезвычайных ситуациях. Единая дежурно-диспетчерская служба. Основные положения»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отдел ГО и ЧС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3. Структура муниципальной программы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</w:p>
    <w:tbl>
      <w:tblPr>
        <w:tblStyle w:val="6"/>
        <w:tblW w:w="15311" w:type="dxa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253"/>
        <w:gridCol w:w="6120"/>
        <w:gridCol w:w="4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№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Задачи структурного элемента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Связь с показателями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Направление (подпрограмма)  «Организация и осуществление мероприятий по гражданской обороне, защите населения от чрезвычайных ситуаций природного и техногенного характера, пожарной безопасности и обеспечение безопасности людей на водных объектах»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1.1.</w:t>
            </w:r>
          </w:p>
        </w:tc>
        <w:tc>
          <w:tcPr>
            <w:tcW w:w="1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«Обеспечение первичных мер пожарной безопасности в границах городского поселения Белоярский»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Ответственный за реализацию: отдел ГО и ЧС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Срок реализации: 2025-2030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Противопожарная пропаганда и обучение населения городского поселения Белоярский мерам пожарной безопасности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>о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рганизация оповещения и информирования населения об опасностях, возникающих при пожарах;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>о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бучение населения правилам поведения, основным способам защиты и действиям при пожарах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Доля населения Белоярского района прошедшего обучение в области гражданской обороны, защиты от чрезвычайных ситуаций и пожарной безопасности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1.2.</w:t>
            </w:r>
          </w:p>
        </w:tc>
        <w:tc>
          <w:tcPr>
            <w:tcW w:w="1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«Пополнение и обеспечение сохранности  созданных резервов (запасов) материальных ресурсов для ликвидации последствий чрезвычайных ситуаций и в целях гражданской обороны»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Ответственный за реализацию: отдел ГО и ЧС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Срок реализации: 2025-2030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Обеспечение материально-техническими средствами, предназначенными для предупреждения и ликвидации чрезвычайных ситуаций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>о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беспечение формирования резервов материальных ресурсов (запасов) в целях экстренного привлечения необходимых средств в случае возникновения чрезвычайных ситуаций и в целях гражданской обороны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1.3.</w:t>
            </w:r>
          </w:p>
        </w:tc>
        <w:tc>
          <w:tcPr>
            <w:tcW w:w="1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"Мероприятия по гражданской обороне и защите населения Белоярского района от чрезвычайных ситуаций природного и техногенного характера"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Ответственный за реализацию: отдел ГО и ЧС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Срок реализации: 2025-2030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Повышение эффективности мер защиты населения Белоярского района от чрезвычайных ситуаций природного и техногенного характера, а также в целях гражданской обороны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>п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овышение уровня навыков применения правил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 при подготовке населения в области гражданской обороны и защиты населения от чрезвычайных ситуаций путем обучения, повышения квалификации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Доля населения Белоярского района прошедшего обучение в области гражданской обороны, защиты от чрезвычайных ситуаций и пожарной безопасности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1.4.</w:t>
            </w:r>
          </w:p>
        </w:tc>
        <w:tc>
          <w:tcPr>
            <w:tcW w:w="1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«Организация осуществления мероприятий по проведению дезинсекции и дератизации»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Ответственный за реализацию: отдел ГО и ЧС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Срок реализации: 2025-2030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>р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еализация мероприятий по проведению дезинсекции и дератизации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1.5.</w:t>
            </w:r>
          </w:p>
        </w:tc>
        <w:tc>
          <w:tcPr>
            <w:tcW w:w="1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«Обеспечение безопасности людей на водных объектах»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Ответственный за реализацию: отдел ГО и ЧС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Срок реализации: 2025-2030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Повышение эффективности принимаемых мер направленных на обеспечение безопасности населения на городском пляже озера Нешинелор гп Белоярский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>р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азвитие системы защищенности населения и обеспечения безопасности на водных объектах</w:t>
            </w:r>
            <w:r>
              <w:rPr>
                <w:rFonts w:hint="default"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>, в том числе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: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 xml:space="preserve">- 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организация пляжей, обозначение границ купания ограждающими буйками;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 xml:space="preserve">- 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проведение очистки дна акватории пляжа;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 xml:space="preserve">- 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организация спасательного поста;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 xml:space="preserve">- 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организация дежурства спасателей;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eastAsia="SimSun"/>
                <w:color w:val="000000"/>
                <w:sz w:val="20"/>
                <w:szCs w:val="20"/>
                <w:lang w:val="ru-RU" w:eastAsia="zh-CN" w:bidi="ar"/>
              </w:rPr>
              <w:t xml:space="preserve">- </w:t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организация информирования населения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Количество происшествий в период работы городского пляжа озера Нешинелор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1.6.</w:t>
            </w:r>
          </w:p>
        </w:tc>
        <w:tc>
          <w:tcPr>
            <w:tcW w:w="147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Ответственный за реализацию: отдел ГО и ЧС</w:t>
            </w:r>
          </w:p>
        </w:tc>
        <w:tc>
          <w:tcPr>
            <w:tcW w:w="6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Срок реализации: 2025-2030</w:t>
            </w:r>
          </w:p>
        </w:tc>
        <w:tc>
          <w:tcPr>
            <w:tcW w:w="4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Обеспечение деятельности МКУ «Единая дежурно-диспетчерская служба Белоярского района»</w:t>
            </w:r>
          </w:p>
        </w:tc>
        <w:tc>
          <w:tcPr>
            <w:tcW w:w="6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</w:p>
        </w:tc>
        <w:tc>
          <w:tcPr>
            <w:tcW w:w="4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</w:t>
            </w: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pageBreakBefore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муниципальной программы </w:t>
      </w:r>
    </w:p>
    <w:tbl>
      <w:tblPr>
        <w:tblStyle w:val="6"/>
        <w:tblW w:w="15208" w:type="dxa"/>
        <w:tblInd w:w="-856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144"/>
        <w:gridCol w:w="1045"/>
        <w:gridCol w:w="1046"/>
        <w:gridCol w:w="1046"/>
        <w:gridCol w:w="1046"/>
        <w:gridCol w:w="1046"/>
        <w:gridCol w:w="1046"/>
        <w:gridCol w:w="1136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8" w:hRule="atLeast"/>
          <w:tblHeader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br w:type="textWrapping"/>
            </w:r>
          </w:p>
        </w:tc>
        <w:tc>
          <w:tcPr>
            <w:tcW w:w="7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tblHeader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tblHeader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9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100" w:afterAutospacing="1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100" w:afterAutospacing="1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Муниципальная программа "Защита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объектах" (всего), в том числе: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22 185,9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21 607,8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21 733,6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21 733,6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21 733,6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21 733,6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130 728,1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ХМАО-Югры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3 627,6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0" w:hRule="atLeast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21 581,3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21 003,2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21 129,0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21 129,0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21 129,0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21 129,0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127 100,5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Объем налоговых расходов Белоярского района (справочно)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1.1.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"Обеспечение первичных мер пожарной безопасности в границах городского поселения Белоярский"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1.1.1.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мероприятие (результат) "Противопожарная пропаганда и обучение населения городского поселения Белоярский мерам пожарной безопасности"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1.2.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"Пополнение и обеспечение сохранности  созданных резервов (запасов) материальных ресурсов для ликвидации последствий чрезвычайных ситуаций и в целях гражданской обороны"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966,3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4 509,8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966,3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4 509,8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1.2.1.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мероприятие (результат) "Обеспечение сохранности созданных резервов для ликвидации последствий чрезвычайных ситуаций и в целях гражданской обороны"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4 252,2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708,7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4 252,2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1.2.2.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мероприятие (результат) "Пополнение резервов (запасов) материальных ресурсов для ликвидации последствий чрезвычайных ситуаций и в целях гражданской обороны"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257,6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257,6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257,6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257,6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1.3.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top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"Мероприятия по гражданской обороне и защите населения Белоярского района от чрезвычайных ситуаций природного и техногенного характера"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563,3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533,3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3 229,8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563,3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533,3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3 229,8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1.4.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"Организация осуществления мероприятий по проведению дезинсекции и дератизации"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3 627,6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ХМАО-Югры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604,6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3 627,6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1.5.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"Обеспечение безопасности людей на водных объектах"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816,6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136,1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816,6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1.6.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Комплекс процессных мероприятий "Создание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района"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19 905,6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19 615,1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118 484,3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19 905,6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19 615,1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118 484,3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1.6.1.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>мероприятие (результат) "Обеспечение деятельности МКУ «Единая дежурно-диспетчерская служба Белоярского района"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19 905,6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19 615,1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118 484,3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19 905,6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19 615,1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19 740,9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  <w:t>118 484,3</w:t>
            </w:r>
          </w:p>
        </w:tc>
      </w:tr>
    </w:tbl>
    <w:p>
      <w:pPr>
        <w:pStyle w:val="13"/>
        <w:jc w:val="both"/>
      </w:pPr>
    </w:p>
    <w:p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3818255</wp:posOffset>
                </wp:positionH>
                <wp:positionV relativeFrom="paragraph">
                  <wp:posOffset>20955</wp:posOffset>
                </wp:positionV>
                <wp:extent cx="1609725" cy="9525"/>
                <wp:effectExtent l="0" t="0" r="0" b="0"/>
                <wp:wrapNone/>
                <wp:docPr id="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o:spt="20" style="position:absolute;left:0pt;flip:y;margin-left:300.65pt;margin-top:1.65pt;height:0.75pt;width:126.75pt;mso-position-horizontal-relative:margin;z-index:251659264;mso-width-relative:page;mso-height-relative:page;" filled="f" stroked="t" coordsize="21600,21600" o:gfxdata="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2KBY1QAAAAcBAAAPAAAAAAAA&#10;AAEAIAAAACIAAABkcnMvZG93bnJldi54bWxQSwECFAAUAAAACACHTuJAXRzozxUCAAAFBAAADgAA&#10;AAAAAAABACAAAAAkAQAAZHJzL2Uyb0RvYy54bWxQSwUGAAAAAAYABgBZAQAAq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6838" w:h="11906" w:orient="landscape"/>
      <w:pgMar w:top="1701" w:right="1134" w:bottom="850" w:left="157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F6xCFE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7DBE"/>
    <w:rsid w:val="004624F3"/>
    <w:rsid w:val="005542E0"/>
    <w:rsid w:val="0056287B"/>
    <w:rsid w:val="005B67BB"/>
    <w:rsid w:val="00AE72EB"/>
    <w:rsid w:val="00CF59C1"/>
    <w:rsid w:val="00E3457D"/>
    <w:rsid w:val="00F21810"/>
    <w:rsid w:val="00F2344F"/>
    <w:rsid w:val="00F50785"/>
    <w:rsid w:val="2B0B1E69"/>
    <w:rsid w:val="39374000"/>
    <w:rsid w:val="52163F76"/>
    <w:rsid w:val="76C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unhideWhenUsed/>
    <w:qFormat/>
    <w:uiPriority w:val="99"/>
    <w:rPr>
      <w:vertAlign w:val="superscript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endnote text"/>
    <w:basedOn w:val="1"/>
    <w:link w:val="15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footnote text"/>
    <w:basedOn w:val="1"/>
    <w:link w:val="16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unhideWhenUsed/>
    <w:uiPriority w:val="99"/>
    <w:pPr>
      <w:tabs>
        <w:tab w:val="center" w:pos="4153"/>
        <w:tab w:val="right" w:pos="8306"/>
      </w:tabs>
    </w:pPr>
  </w:style>
  <w:style w:type="paragraph" w:styleId="12">
    <w:name w:val="footer"/>
    <w:basedOn w:val="1"/>
    <w:unhideWhenUsed/>
    <w:uiPriority w:val="99"/>
    <w:pPr>
      <w:tabs>
        <w:tab w:val="center" w:pos="4153"/>
        <w:tab w:val="right" w:pos="8306"/>
      </w:tabs>
    </w:pPr>
  </w:style>
  <w:style w:type="paragraph" w:customStyle="1" w:styleId="13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Текст концевой сноски Знак"/>
    <w:basedOn w:val="5"/>
    <w:link w:val="9"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6">
    <w:name w:val="Текст сноски Знак"/>
    <w:basedOn w:val="5"/>
    <w:link w:val="10"/>
    <w:qFormat/>
    <w:uiPriority w:val="99"/>
    <w:rPr>
      <w:rFonts w:ascii="Calibri" w:hAnsi="Calibri" w:eastAsia="Calibri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9</Pages>
  <Words>2095</Words>
  <Characters>11942</Characters>
  <Lines>99</Lines>
  <Paragraphs>28</Paragraphs>
  <TotalTime>3892</TotalTime>
  <ScaleCrop>false</ScaleCrop>
  <LinksUpToDate>false</LinksUpToDate>
  <CharactersWithSpaces>14009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2024-11-22T09:41:00Z</dcterms:created>
  <dc:creator>Morgunova</dc:creator>
  <cp:lastModifiedBy>BraginVV</cp:lastModifiedBy>
  <cp:lastPrinted>2024-11-25T05:39:45Z</cp:lastPrinted>
  <dcterms:modified xsi:type="dcterms:W3CDTF">2024-11-25T05:39:53Z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E37B160D51854779AA974B6F26DE3F4E_13</vt:lpwstr>
  </property>
</Properties>
</file>