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2"/>
        <w:jc w:val="center"/>
        <w:rPr>
          <w:b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114300</wp:posOffset>
                </wp:positionV>
                <wp:extent cx="914400" cy="914400"/>
                <wp:effectExtent l="0" t="0" r="0" b="0"/>
                <wp:wrapNone/>
                <wp:docPr id="1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62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862"/>
                            </w:pPr>
                            <w:r/>
                            <w:r/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202" type="#_x0000_t202" style="position:absolute;z-index:524288;o:allowoverlap:true;o:allowincell:true;mso-position-horizontal-relative:text;margin-left:369.00pt;mso-position-horizontal:absolute;mso-position-vertical-relative:text;margin-top:9.00pt;mso-position-vertical:absolute;width:72.00pt;height:72.00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862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</w:r>
                      <w:r>
                        <w:rPr>
                          <w:b/>
                          <w:sz w:val="24"/>
                          <w:szCs w:val="24"/>
                        </w:rPr>
                      </w:r>
                      <w:r>
                        <w:rPr>
                          <w:b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862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5287" cy="885126"/>
                <wp:effectExtent l="0" t="0" r="0" b="0"/>
                <wp:docPr id="2" name="_x0000_i102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45287" cy="8851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50.81pt;height:69.69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pStyle w:val="862"/>
        <w:jc w:val="center"/>
      </w:pPr>
      <w:r/>
      <w:r/>
    </w:p>
    <w:p>
      <w:pPr>
        <w:pStyle w:val="86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БЕЛОЯРСКИЙ РАЙОН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65"/>
        <w:jc w:val="center"/>
        <w:rPr>
          <w:b/>
          <w:sz w:val="20"/>
        </w:rPr>
      </w:pPr>
      <w:r>
        <w:rPr>
          <w:b/>
          <w:sz w:val="20"/>
        </w:rPr>
        <w:t xml:space="preserve">ХАНТЫ-МАНСИЙСКИЙ АВТОНОМНЫЙ ОКРУГ</w:t>
      </w:r>
      <w:r>
        <w:rPr>
          <w:b/>
          <w:sz w:val="20"/>
        </w:rPr>
        <w:t xml:space="preserve"> </w:t>
      </w:r>
      <w:r>
        <w:rPr>
          <w:b/>
          <w:sz w:val="20"/>
        </w:rPr>
        <w:t xml:space="preserve">-</w:t>
      </w:r>
      <w:r>
        <w:rPr>
          <w:b/>
          <w:sz w:val="20"/>
        </w:rPr>
        <w:t xml:space="preserve"> </w:t>
      </w:r>
      <w:r>
        <w:rPr>
          <w:b/>
          <w:sz w:val="20"/>
        </w:rPr>
        <w:t xml:space="preserve">ЮГРА</w:t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864"/>
        <w:jc w:val="center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863"/>
        <w:jc w:val="center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63"/>
        <w:jc w:val="center"/>
        <w:rPr>
          <w:szCs w:val="28"/>
        </w:rPr>
      </w:pPr>
      <w:r>
        <w:rPr>
          <w:szCs w:val="28"/>
        </w:rPr>
        <w:t xml:space="preserve">АДМИНИСТРАЦИЯ</w:t>
      </w:r>
      <w:r>
        <w:rPr>
          <w:szCs w:val="28"/>
        </w:rPr>
        <w:t xml:space="preserve"> БЕЛОЯРСКОГО РАЙОНА </w:t>
      </w:r>
      <w:r>
        <w:rPr>
          <w:szCs w:val="28"/>
        </w:rPr>
      </w:r>
      <w:r>
        <w:rPr>
          <w:szCs w:val="28"/>
        </w:rPr>
      </w:r>
    </w:p>
    <w:p>
      <w:pPr>
        <w:pStyle w:val="862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6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63"/>
        <w:jc w:val="center"/>
      </w:pPr>
      <w:r>
        <w:t xml:space="preserve">ПОСТАНОВЛЕНИЕ</w:t>
      </w:r>
      <w:r/>
    </w:p>
    <w:p>
      <w:pPr>
        <w:pStyle w:val="872"/>
        <w:jc w:val="center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872"/>
        <w:jc w:val="center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872"/>
        <w:jc w:val="center"/>
      </w:pPr>
      <w:r>
        <w:t xml:space="preserve">от </w:t>
      </w:r>
      <w:r>
        <w:t xml:space="preserve">2</w:t>
      </w:r>
      <w:r>
        <w:t xml:space="preserve">2</w:t>
      </w:r>
      <w:r>
        <w:t xml:space="preserve"> </w:t>
      </w:r>
      <w:r>
        <w:t xml:space="preserve">октября</w:t>
      </w:r>
      <w:r>
        <w:t xml:space="preserve"> 20</w:t>
      </w:r>
      <w:r>
        <w:t xml:space="preserve">2</w:t>
      </w:r>
      <w:r>
        <w:t xml:space="preserve">5</w:t>
      </w:r>
      <w:r>
        <w:t xml:space="preserve"> </w:t>
      </w:r>
      <w:r>
        <w:t xml:space="preserve">г</w:t>
      </w:r>
      <w:r>
        <w:t xml:space="preserve">ода</w:t>
      </w:r>
      <w:r>
        <w:t xml:space="preserve">                                  </w:t>
      </w:r>
      <w:r>
        <w:tab/>
      </w:r>
      <w:r>
        <w:t xml:space="preserve">                         </w:t>
      </w:r>
      <w:r>
        <w:tab/>
      </w:r>
      <w:r>
        <w:t xml:space="preserve">         </w:t>
      </w:r>
      <w:r>
        <w:rPr>
          <w:lang w:val="ru-RU"/>
        </w:rPr>
        <w:t xml:space="preserve">              </w:t>
      </w:r>
      <w:r>
        <w:t xml:space="preserve">    </w:t>
      </w:r>
      <w:r>
        <w:t xml:space="preserve">  №</w:t>
      </w:r>
      <w:r>
        <w:rPr>
          <w:lang w:val="ru-RU"/>
        </w:rPr>
        <w:t xml:space="preserve"> 678</w:t>
      </w:r>
      <w:r/>
      <w:r/>
    </w:p>
    <w:p>
      <w:pPr>
        <w:pStyle w:val="872"/>
        <w:jc w:val="center"/>
        <w:rPr>
          <w:sz w:val="26"/>
        </w:rPr>
      </w:pPr>
      <w:r>
        <w:rPr>
          <w:sz w:val="26"/>
        </w:rPr>
      </w:r>
      <w:r>
        <w:rPr>
          <w:sz w:val="26"/>
        </w:rPr>
      </w:r>
      <w:r>
        <w:rPr>
          <w:sz w:val="26"/>
        </w:rPr>
      </w:r>
    </w:p>
    <w:p>
      <w:pPr>
        <w:pStyle w:val="872"/>
        <w:jc w:val="center"/>
        <w:rPr>
          <w:sz w:val="26"/>
        </w:rPr>
      </w:pPr>
      <w:r>
        <w:rPr>
          <w:sz w:val="26"/>
        </w:rPr>
      </w:r>
      <w:r>
        <w:rPr>
          <w:sz w:val="26"/>
        </w:rPr>
      </w:r>
      <w:r>
        <w:rPr>
          <w:sz w:val="26"/>
        </w:rPr>
      </w:r>
    </w:p>
    <w:p>
      <w:pPr>
        <w:pStyle w:val="872"/>
        <w:jc w:val="center"/>
        <w:rPr>
          <w:b/>
        </w:rPr>
      </w:pPr>
      <w:r>
        <w:rPr>
          <w:b/>
        </w:rPr>
        <w:t xml:space="preserve">О </w:t>
      </w:r>
      <w:r>
        <w:rPr>
          <w:b/>
        </w:rPr>
        <w:t xml:space="preserve">внесении изменений в приложение к постановлению администрации</w:t>
      </w:r>
      <w:r>
        <w:rPr>
          <w:b/>
        </w:rPr>
      </w:r>
      <w:r>
        <w:rPr>
          <w:b/>
        </w:rPr>
      </w:r>
    </w:p>
    <w:p>
      <w:pPr>
        <w:pStyle w:val="872"/>
        <w:jc w:val="center"/>
      </w:pPr>
      <w:r>
        <w:rPr>
          <w:b/>
        </w:rPr>
        <w:t xml:space="preserve">Белоярского района от </w:t>
      </w:r>
      <w:r>
        <w:rPr>
          <w:b/>
        </w:rPr>
        <w:t xml:space="preserve">8</w:t>
      </w:r>
      <w:r>
        <w:rPr>
          <w:b/>
        </w:rPr>
        <w:t xml:space="preserve"> </w:t>
      </w:r>
      <w:r>
        <w:rPr>
          <w:b/>
        </w:rPr>
        <w:t xml:space="preserve">ф</w:t>
      </w:r>
      <w:r>
        <w:rPr>
          <w:b/>
        </w:rPr>
        <w:t xml:space="preserve">е</w:t>
      </w:r>
      <w:r>
        <w:rPr>
          <w:b/>
        </w:rPr>
        <w:t xml:space="preserve">в</w:t>
      </w:r>
      <w:r>
        <w:rPr>
          <w:b/>
        </w:rPr>
        <w:t xml:space="preserve">р</w:t>
      </w:r>
      <w:r>
        <w:rPr>
          <w:b/>
        </w:rPr>
        <w:t xml:space="preserve">а</w:t>
      </w:r>
      <w:r>
        <w:rPr>
          <w:b/>
        </w:rPr>
        <w:t xml:space="preserve">л</w:t>
      </w:r>
      <w:r>
        <w:rPr>
          <w:b/>
        </w:rPr>
        <w:t xml:space="preserve">я</w:t>
      </w:r>
      <w:r>
        <w:rPr>
          <w:b/>
        </w:rPr>
        <w:t xml:space="preserve"> 20</w:t>
      </w:r>
      <w:r>
        <w:rPr>
          <w:b/>
        </w:rPr>
        <w:t xml:space="preserve">1</w:t>
      </w:r>
      <w:r>
        <w:rPr>
          <w:b/>
        </w:rPr>
        <w:t xml:space="preserve">6</w:t>
      </w:r>
      <w:r>
        <w:rPr>
          <w:b/>
        </w:rPr>
        <w:t xml:space="preserve"> года № </w:t>
      </w:r>
      <w:r>
        <w:rPr>
          <w:b/>
        </w:rPr>
        <w:t xml:space="preserve">9</w:t>
      </w:r>
      <w:r>
        <w:rPr>
          <w:b/>
        </w:rPr>
        <w:t xml:space="preserve">8</w:t>
      </w:r>
      <w:r/>
    </w:p>
    <w:p>
      <w:pPr>
        <w:pStyle w:val="872"/>
        <w:jc w:val="center"/>
        <w:rPr>
          <w:highlight w:val="none"/>
        </w:rPr>
      </w:pPr>
      <w:r>
        <w:t xml:space="preserve">    </w:t>
      </w:r>
      <w:r>
        <w:t xml:space="preserve">          </w:t>
      </w:r>
      <w:r>
        <w:rPr>
          <w:highlight w:val="none"/>
        </w:rPr>
      </w:r>
      <w:r>
        <w:rPr>
          <w:highlight w:val="none"/>
        </w:rPr>
      </w:r>
    </w:p>
    <w:p>
      <w:pPr>
        <w:pStyle w:val="872"/>
        <w:jc w:val="center"/>
      </w:pPr>
      <w:r/>
      <w:r/>
    </w:p>
    <w:p>
      <w:pPr>
        <w:pStyle w:val="872"/>
        <w:jc w:val="center"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62"/>
        <w:ind w:firstLine="540"/>
        <w:jc w:val="both"/>
        <w:rPr>
          <w:b/>
          <w:sz w:val="24"/>
          <w:szCs w:val="24"/>
        </w:rPr>
      </w:pPr>
      <w:r>
        <w:t xml:space="preserve"> </w:t>
      </w:r>
      <w:r>
        <w:rPr>
          <w:sz w:val="24"/>
          <w:szCs w:val="24"/>
        </w:rPr>
        <w:t xml:space="preserve">В соответствии с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HYPERLINK "consultantplus://offline/ref=00FDD5A5C614B2BE5D8CF4FF00067B6ED4B654FFA5438720292F52DD980C494667397DE477E19F906247D"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остановлением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Правительства Российской Федерации от 26</w:t>
      </w:r>
      <w:r>
        <w:rPr>
          <w:sz w:val="24"/>
          <w:szCs w:val="24"/>
        </w:rPr>
        <w:t xml:space="preserve"> июля </w:t>
      </w:r>
      <w:r>
        <w:rPr>
          <w:sz w:val="24"/>
          <w:szCs w:val="24"/>
        </w:rPr>
        <w:t xml:space="preserve">2010</w:t>
      </w:r>
      <w:r>
        <w:rPr>
          <w:sz w:val="24"/>
          <w:szCs w:val="24"/>
        </w:rPr>
        <w:t xml:space="preserve"> года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</w:t>
      </w:r>
      <w:r>
        <w:rPr>
          <w:sz w:val="24"/>
          <w:szCs w:val="24"/>
        </w:rPr>
        <w:t xml:space="preserve"> 538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О порядке отнесения имущества автономного или бюджетного учреждения к категории особо ценного движимого имущества</w:t>
      </w:r>
      <w:r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п </w:t>
      </w:r>
      <w:r>
        <w:rPr>
          <w:sz w:val="24"/>
          <w:szCs w:val="24"/>
        </w:rPr>
        <w:t xml:space="preserve">о с т а н о в л я ю</w:t>
      </w:r>
      <w:r>
        <w:rPr>
          <w:sz w:val="24"/>
          <w:szCs w:val="24"/>
        </w:rPr>
        <w:t xml:space="preserve">: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62"/>
        <w:ind w:firstLine="540"/>
        <w:jc w:val="both"/>
        <w:rPr>
          <w:highlight w:val="none"/>
        </w:rPr>
      </w:pPr>
      <w:r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Внести в пункт 3 приложения </w:t>
      </w:r>
      <w:r>
        <w:rPr>
          <w:sz w:val="24"/>
          <w:szCs w:val="24"/>
        </w:rPr>
        <w:t xml:space="preserve">«П</w:t>
      </w:r>
      <w:r>
        <w:rPr>
          <w:sz w:val="24"/>
          <w:szCs w:val="24"/>
        </w:rPr>
        <w:t xml:space="preserve">оряд</w:t>
      </w:r>
      <w:r>
        <w:rPr>
          <w:sz w:val="24"/>
          <w:szCs w:val="24"/>
        </w:rPr>
        <w:t xml:space="preserve">ок</w:t>
      </w:r>
      <w:r>
        <w:rPr>
          <w:sz w:val="24"/>
          <w:szCs w:val="24"/>
        </w:rPr>
        <w:t xml:space="preserve"> определения видов особо ценного </w:t>
      </w:r>
      <w:r>
        <w:rPr>
          <w:sz w:val="24"/>
          <w:szCs w:val="24"/>
        </w:rPr>
        <w:t xml:space="preserve">движимого имущества муниципальных</w:t>
      </w:r>
      <w:r>
        <w:rPr>
          <w:sz w:val="24"/>
          <w:szCs w:val="24"/>
        </w:rPr>
        <w:t xml:space="preserve"> автономн</w:t>
      </w:r>
      <w:r>
        <w:rPr>
          <w:sz w:val="24"/>
          <w:szCs w:val="24"/>
        </w:rPr>
        <w:t xml:space="preserve">ых</w:t>
      </w:r>
      <w:r>
        <w:rPr>
          <w:sz w:val="24"/>
          <w:szCs w:val="24"/>
        </w:rPr>
        <w:t xml:space="preserve"> или бюджетн</w:t>
      </w:r>
      <w:r>
        <w:rPr>
          <w:sz w:val="24"/>
          <w:szCs w:val="24"/>
        </w:rPr>
        <w:t xml:space="preserve">ых</w:t>
      </w:r>
      <w:r>
        <w:rPr>
          <w:sz w:val="24"/>
          <w:szCs w:val="24"/>
        </w:rPr>
        <w:t xml:space="preserve"> учреждени</w:t>
      </w:r>
      <w:r>
        <w:rPr>
          <w:sz w:val="24"/>
          <w:szCs w:val="24"/>
        </w:rPr>
        <w:t xml:space="preserve">й</w:t>
      </w:r>
      <w:r>
        <w:rPr>
          <w:sz w:val="24"/>
          <w:szCs w:val="24"/>
        </w:rPr>
        <w:t xml:space="preserve"> Белоярского района и перечней особо ценного движимого имущества муниципальн</w:t>
      </w:r>
      <w:r>
        <w:rPr>
          <w:sz w:val="24"/>
          <w:szCs w:val="24"/>
        </w:rPr>
        <w:t xml:space="preserve">ых</w:t>
      </w:r>
      <w:r>
        <w:rPr>
          <w:sz w:val="24"/>
          <w:szCs w:val="24"/>
        </w:rPr>
        <w:t xml:space="preserve"> автономн</w:t>
      </w:r>
      <w:r>
        <w:rPr>
          <w:sz w:val="24"/>
          <w:szCs w:val="24"/>
        </w:rPr>
        <w:t xml:space="preserve">ых</w:t>
      </w:r>
      <w:r>
        <w:rPr>
          <w:sz w:val="24"/>
          <w:szCs w:val="24"/>
        </w:rPr>
        <w:t xml:space="preserve"> учреждени</w:t>
      </w:r>
      <w:r>
        <w:rPr>
          <w:sz w:val="24"/>
          <w:szCs w:val="24"/>
        </w:rPr>
        <w:t xml:space="preserve">й</w:t>
      </w:r>
      <w:r>
        <w:rPr>
          <w:sz w:val="24"/>
          <w:szCs w:val="24"/>
        </w:rPr>
        <w:t xml:space="preserve"> Белоярского района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 к постановлению администрации Белоярского района от </w:t>
      </w:r>
      <w:r>
        <w:rPr>
          <w:b w:val="0"/>
          <w:bCs w:val="0"/>
          <w:sz w:val="24"/>
          <w:szCs w:val="24"/>
        </w:rPr>
        <w:t xml:space="preserve">8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ф</w:t>
      </w:r>
      <w:r>
        <w:rPr>
          <w:b w:val="0"/>
          <w:bCs w:val="0"/>
          <w:sz w:val="24"/>
          <w:szCs w:val="24"/>
        </w:rPr>
        <w:t xml:space="preserve">е</w:t>
      </w:r>
      <w:r>
        <w:rPr>
          <w:b w:val="0"/>
          <w:bCs w:val="0"/>
          <w:sz w:val="24"/>
          <w:szCs w:val="24"/>
        </w:rPr>
        <w:t xml:space="preserve">в</w:t>
      </w:r>
      <w:r>
        <w:rPr>
          <w:b w:val="0"/>
          <w:bCs w:val="0"/>
          <w:sz w:val="24"/>
          <w:szCs w:val="24"/>
        </w:rPr>
        <w:t xml:space="preserve">р</w:t>
      </w:r>
      <w:r>
        <w:rPr>
          <w:b w:val="0"/>
          <w:bCs w:val="0"/>
          <w:sz w:val="24"/>
          <w:szCs w:val="24"/>
        </w:rPr>
        <w:t xml:space="preserve">а</w:t>
      </w:r>
      <w:r>
        <w:rPr>
          <w:b w:val="0"/>
          <w:bCs w:val="0"/>
          <w:sz w:val="24"/>
          <w:szCs w:val="24"/>
        </w:rPr>
        <w:t xml:space="preserve">л</w:t>
      </w:r>
      <w:r>
        <w:rPr>
          <w:b w:val="0"/>
          <w:bCs w:val="0"/>
          <w:sz w:val="24"/>
          <w:szCs w:val="24"/>
        </w:rPr>
        <w:t xml:space="preserve">я</w:t>
      </w:r>
      <w:r>
        <w:rPr>
          <w:b w:val="0"/>
          <w:bCs w:val="0"/>
          <w:sz w:val="24"/>
          <w:szCs w:val="24"/>
        </w:rPr>
        <w:t xml:space="preserve"> 20</w:t>
      </w:r>
      <w:r>
        <w:rPr>
          <w:b w:val="0"/>
          <w:bCs w:val="0"/>
          <w:sz w:val="24"/>
          <w:szCs w:val="24"/>
        </w:rPr>
        <w:t xml:space="preserve">1</w:t>
      </w:r>
      <w:r>
        <w:rPr>
          <w:b w:val="0"/>
          <w:bCs w:val="0"/>
          <w:sz w:val="24"/>
          <w:szCs w:val="24"/>
        </w:rPr>
        <w:t xml:space="preserve">6</w:t>
      </w:r>
      <w:r>
        <w:rPr>
          <w:b w:val="0"/>
          <w:bCs w:val="0"/>
          <w:sz w:val="24"/>
          <w:szCs w:val="24"/>
        </w:rPr>
        <w:t xml:space="preserve"> года № </w:t>
      </w:r>
      <w:r>
        <w:rPr>
          <w:b w:val="0"/>
          <w:bCs w:val="0"/>
          <w:sz w:val="24"/>
          <w:szCs w:val="24"/>
        </w:rPr>
        <w:t xml:space="preserve">9</w:t>
      </w:r>
      <w:r>
        <w:rPr>
          <w:b w:val="0"/>
          <w:bCs w:val="0"/>
          <w:sz w:val="24"/>
          <w:szCs w:val="24"/>
        </w:rPr>
        <w:t xml:space="preserve">8</w:t>
      </w:r>
      <w:r>
        <w:rPr>
          <w:b w:val="0"/>
          <w:bCs w:val="0"/>
          <w:sz w:val="24"/>
          <w:szCs w:val="24"/>
        </w:rPr>
        <w:t xml:space="preserve">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О порядке определения видов особо ценного движимого имущества муниципальных автономных или бюджетных учреждений Белоярского района и перечней особо</w:t>
      </w:r>
      <w:r>
        <w:rPr>
          <w:sz w:val="24"/>
          <w:szCs w:val="24"/>
        </w:rPr>
        <w:t xml:space="preserve"> ценного движимого имущества муниципальных автономных учреждений </w:t>
      </w:r>
      <w:r>
        <w:rPr>
          <w:sz w:val="24"/>
          <w:szCs w:val="24"/>
        </w:rPr>
        <w:t xml:space="preserve">Белоярского района</w:t>
      </w:r>
      <w:r>
        <w:rPr>
          <w:sz w:val="24"/>
          <w:szCs w:val="24"/>
        </w:rPr>
        <w:t xml:space="preserve">» следующие изменения</w:t>
      </w:r>
      <w:r>
        <w:rPr>
          <w:sz w:val="24"/>
          <w:szCs w:val="24"/>
        </w:rPr>
        <w:t xml:space="preserve">:</w:t>
      </w:r>
      <w:r>
        <w:rPr>
          <w:highlight w:val="none"/>
        </w:rPr>
      </w:r>
      <w:r>
        <w:rPr>
          <w:highlight w:val="none"/>
        </w:rPr>
      </w:r>
    </w:p>
    <w:p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  <w:highlight w:val="none"/>
        </w:rPr>
        <w:t xml:space="preserve">  1) подпункт «а» изложить в следующей редакции: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2"/>
        <w:ind w:left="0" w:right="0" w:firstLine="567"/>
        <w:jc w:val="both"/>
        <w:widowControl w:val="off"/>
        <w:rPr>
          <w:sz w:val="24"/>
          <w:szCs w:val="24"/>
          <w:highlight w:val="none"/>
        </w:rPr>
      </w:pPr>
      <w:r>
        <w:rPr>
          <w:color w:val="000000"/>
          <w:sz w:val="24"/>
          <w:szCs w:val="24"/>
        </w:rPr>
        <w:t xml:space="preserve">«а) </w:t>
      </w:r>
      <w:r>
        <w:rPr>
          <w:sz w:val="24"/>
          <w:szCs w:val="24"/>
        </w:rPr>
        <w:t xml:space="preserve">движимое имущество, балансовая стоимо</w:t>
      </w:r>
      <w:r>
        <w:rPr>
          <w:sz w:val="24"/>
          <w:szCs w:val="24"/>
        </w:rPr>
        <w:t xml:space="preserve">сть которого за </w:t>
      </w:r>
      <w:r>
        <w:rPr>
          <w:color w:val="000000"/>
          <w:sz w:val="24"/>
          <w:szCs w:val="24"/>
          <w:highlight w:val="none"/>
        </w:rPr>
        <w:t xml:space="preserve">единицу составляет двести тысяч рублей и выше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  <w:t xml:space="preserve">»;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0" w:right="0" w:firstLine="567"/>
        <w:jc w:val="both"/>
        <w:widowControl w:val="off"/>
        <w:rPr>
          <w:color w:val="000000"/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  <w:t xml:space="preserve">2) подпункт «г» изложить в следующей редакции:</w:t>
      </w:r>
      <w:r>
        <w:rPr>
          <w:color w:val="000000"/>
          <w:sz w:val="24"/>
          <w:szCs w:val="24"/>
          <w:highlight w:val="none"/>
        </w:rPr>
      </w:r>
      <w:r>
        <w:rPr>
          <w:color w:val="000000"/>
          <w:sz w:val="24"/>
          <w:szCs w:val="24"/>
          <w:highlight w:val="none"/>
        </w:rPr>
      </w:r>
    </w:p>
    <w:p>
      <w:pPr>
        <w:ind w:left="0" w:right="0" w:firstLine="567"/>
        <w:jc w:val="both"/>
        <w:widowControl w:val="o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none"/>
        </w:rPr>
        <w:t xml:space="preserve">«г) </w:t>
      </w:r>
      <w:r>
        <w:rPr>
          <w:color w:val="000000"/>
          <w:sz w:val="24"/>
          <w:szCs w:val="24"/>
          <w:highlight w:val="none"/>
        </w:rPr>
        <w:t xml:space="preserve">и</w:t>
      </w:r>
      <w:r>
        <w:rPr>
          <w:color w:val="000000"/>
          <w:sz w:val="24"/>
          <w:szCs w:val="24"/>
          <w:highlight w:val="none"/>
        </w:rPr>
        <w:t xml:space="preserve">н</w:t>
      </w:r>
      <w:r>
        <w:rPr>
          <w:color w:val="000000"/>
          <w:sz w:val="24"/>
          <w:szCs w:val="24"/>
          <w:highlight w:val="none"/>
        </w:rPr>
        <w:t xml:space="preserve">ое движимое имущество, балансовая стоимость которого за единицу составляет сто тысяч рублей и выше, приобретенное за счет субсидий, предоставленных из бюджета Белоярского района без которого осуществление муниципальными бюджетными и автономными учреждениям</w:t>
      </w:r>
      <w:r>
        <w:rPr>
          <w:color w:val="000000"/>
          <w:sz w:val="24"/>
          <w:szCs w:val="24"/>
          <w:highlight w:val="none"/>
        </w:rPr>
        <w:t xml:space="preserve">и Белоярского района предусмотренных их уставами основных видов деятельности будет существенно затруднено;</w:t>
      </w:r>
      <w:r>
        <w:rPr>
          <w:color w:val="000000"/>
          <w:sz w:val="24"/>
          <w:szCs w:val="24"/>
        </w:rPr>
        <w:t xml:space="preserve">».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62"/>
        <w:ind w:left="0" w:righ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Опубликовать настоящее постановление в газете «Бел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ярские вести. Официальный выпуск».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2"/>
        <w:ind w:left="0" w:right="0" w:firstLine="567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 xml:space="preserve">Настоящее постановление вступает в силу после его официального опубликования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2"/>
        <w:ind w:left="0" w:righ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</w:t>
      </w:r>
      <w:r>
        <w:rPr>
          <w:sz w:val="24"/>
          <w:szCs w:val="24"/>
        </w:rPr>
        <w:t xml:space="preserve">. Контроль за выполнением постановления возложить на заместителя главы Белоярского района Гайворонского А.В.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6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6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72"/>
        <w:jc w:val="left"/>
      </w:pPr>
      <w:r>
        <w:t xml:space="preserve">Г</w:t>
      </w:r>
      <w:r>
        <w:t xml:space="preserve">лав</w:t>
      </w:r>
      <w:r>
        <w:t xml:space="preserve">а</w:t>
      </w:r>
      <w:r>
        <w:t xml:space="preserve"> </w:t>
      </w:r>
      <w:r>
        <w:t xml:space="preserve">Белоярского района</w:t>
      </w:r>
      <w:r>
        <w:t xml:space="preserve">                                      </w:t>
      </w:r>
      <w:r>
        <w:t xml:space="preserve">       </w:t>
      </w:r>
      <w:r>
        <w:tab/>
        <w:tab/>
        <w:tab/>
        <w:tab/>
      </w:r>
      <w:r>
        <w:t xml:space="preserve"> </w:t>
      </w:r>
      <w:r>
        <w:t xml:space="preserve"> </w:t>
      </w:r>
      <w:r>
        <w:t xml:space="preserve"> </w:t>
      </w:r>
      <w:r>
        <w:t xml:space="preserve">С.П.Маненков</w:t>
      </w:r>
      <w:r/>
    </w:p>
    <w:sectPr>
      <w:headerReference w:type="default" r:id="rId9"/>
      <w:footerReference w:type="default" r:id="rId10"/>
      <w:footnotePr/>
      <w:endnotePr/>
      <w:type w:val="nextPage"/>
      <w:pgSz w:w="11907" w:h="16840" w:orient="portrait"/>
      <w:pgMar w:top="1021" w:right="851" w:bottom="567" w:left="1559" w:header="0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  <w:framePr w:vAnchor="text" w:hAnchor="margin" w:xAlign="right" w:y="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9"/>
      <w:rPr>
        <w:rStyle w:val="870"/>
      </w:rPr>
      <w:framePr w:vAnchor="text" w:hAnchor="margin" w:xAlign="center" w:y="1"/>
    </w:pPr>
    <w:r>
      <w:rPr>
        <w:rStyle w:val="870"/>
      </w:rPr>
    </w:r>
    <w:r>
      <w:rPr>
        <w:rStyle w:val="870"/>
      </w:rPr>
    </w:r>
    <w:r>
      <w:rPr>
        <w:rStyle w:val="870"/>
      </w:rPr>
    </w:r>
  </w:p>
  <w:p>
    <w:pPr>
      <w:pStyle w:val="86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4">
    <w:name w:val="Heading 1"/>
    <w:basedOn w:val="862"/>
    <w:next w:val="862"/>
    <w:link w:val="68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5">
    <w:name w:val="Heading 1 Char"/>
    <w:link w:val="684"/>
    <w:uiPriority w:val="9"/>
    <w:rPr>
      <w:rFonts w:ascii="Arial" w:hAnsi="Arial" w:eastAsia="Arial" w:cs="Arial"/>
      <w:sz w:val="40"/>
      <w:szCs w:val="40"/>
    </w:rPr>
  </w:style>
  <w:style w:type="paragraph" w:styleId="686">
    <w:name w:val="Heading 2"/>
    <w:basedOn w:val="862"/>
    <w:next w:val="862"/>
    <w:link w:val="68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7">
    <w:name w:val="Heading 2 Char"/>
    <w:link w:val="686"/>
    <w:uiPriority w:val="9"/>
    <w:rPr>
      <w:rFonts w:ascii="Arial" w:hAnsi="Arial" w:eastAsia="Arial" w:cs="Arial"/>
      <w:sz w:val="34"/>
    </w:rPr>
  </w:style>
  <w:style w:type="paragraph" w:styleId="688">
    <w:name w:val="Heading 3"/>
    <w:basedOn w:val="862"/>
    <w:next w:val="862"/>
    <w:link w:val="68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9">
    <w:name w:val="Heading 3 Char"/>
    <w:link w:val="688"/>
    <w:uiPriority w:val="9"/>
    <w:rPr>
      <w:rFonts w:ascii="Arial" w:hAnsi="Arial" w:eastAsia="Arial" w:cs="Arial"/>
      <w:sz w:val="30"/>
      <w:szCs w:val="30"/>
    </w:rPr>
  </w:style>
  <w:style w:type="paragraph" w:styleId="690">
    <w:name w:val="Heading 4"/>
    <w:basedOn w:val="862"/>
    <w:next w:val="862"/>
    <w:link w:val="69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1">
    <w:name w:val="Heading 4 Char"/>
    <w:link w:val="690"/>
    <w:uiPriority w:val="9"/>
    <w:rPr>
      <w:rFonts w:ascii="Arial" w:hAnsi="Arial" w:eastAsia="Arial" w:cs="Arial"/>
      <w:b/>
      <w:bCs/>
      <w:sz w:val="26"/>
      <w:szCs w:val="26"/>
    </w:rPr>
  </w:style>
  <w:style w:type="paragraph" w:styleId="692">
    <w:name w:val="Heading 5"/>
    <w:basedOn w:val="862"/>
    <w:next w:val="862"/>
    <w:link w:val="69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3">
    <w:name w:val="Heading 5 Char"/>
    <w:link w:val="692"/>
    <w:uiPriority w:val="9"/>
    <w:rPr>
      <w:rFonts w:ascii="Arial" w:hAnsi="Arial" w:eastAsia="Arial" w:cs="Arial"/>
      <w:b/>
      <w:bCs/>
      <w:sz w:val="24"/>
      <w:szCs w:val="24"/>
    </w:rPr>
  </w:style>
  <w:style w:type="paragraph" w:styleId="694">
    <w:name w:val="Heading 6"/>
    <w:basedOn w:val="862"/>
    <w:next w:val="862"/>
    <w:link w:val="69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5">
    <w:name w:val="Heading 6 Char"/>
    <w:link w:val="694"/>
    <w:uiPriority w:val="9"/>
    <w:rPr>
      <w:rFonts w:ascii="Arial" w:hAnsi="Arial" w:eastAsia="Arial" w:cs="Arial"/>
      <w:b/>
      <w:bCs/>
      <w:sz w:val="22"/>
      <w:szCs w:val="22"/>
    </w:rPr>
  </w:style>
  <w:style w:type="paragraph" w:styleId="696">
    <w:name w:val="Heading 7"/>
    <w:basedOn w:val="862"/>
    <w:next w:val="862"/>
    <w:link w:val="69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7">
    <w:name w:val="Heading 7 Char"/>
    <w:link w:val="6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8">
    <w:name w:val="Heading 8"/>
    <w:basedOn w:val="862"/>
    <w:next w:val="862"/>
    <w:link w:val="69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9">
    <w:name w:val="Heading 8 Char"/>
    <w:link w:val="698"/>
    <w:uiPriority w:val="9"/>
    <w:rPr>
      <w:rFonts w:ascii="Arial" w:hAnsi="Arial" w:eastAsia="Arial" w:cs="Arial"/>
      <w:i/>
      <w:iCs/>
      <w:sz w:val="22"/>
      <w:szCs w:val="22"/>
    </w:rPr>
  </w:style>
  <w:style w:type="paragraph" w:styleId="700">
    <w:name w:val="Heading 9"/>
    <w:basedOn w:val="862"/>
    <w:next w:val="862"/>
    <w:link w:val="70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1">
    <w:name w:val="Heading 9 Char"/>
    <w:link w:val="700"/>
    <w:uiPriority w:val="9"/>
    <w:rPr>
      <w:rFonts w:ascii="Arial" w:hAnsi="Arial" w:eastAsia="Arial" w:cs="Arial"/>
      <w:i/>
      <w:iCs/>
      <w:sz w:val="21"/>
      <w:szCs w:val="21"/>
    </w:rPr>
  </w:style>
  <w:style w:type="paragraph" w:styleId="702">
    <w:name w:val="List Paragraph"/>
    <w:basedOn w:val="862"/>
    <w:uiPriority w:val="34"/>
    <w:qFormat/>
    <w:pPr>
      <w:contextualSpacing/>
      <w:ind w:left="720"/>
    </w:pPr>
  </w:style>
  <w:style w:type="paragraph" w:styleId="703">
    <w:name w:val="No Spacing"/>
    <w:uiPriority w:val="1"/>
    <w:qFormat/>
    <w:pPr>
      <w:spacing w:before="0" w:after="0" w:line="240" w:lineRule="auto"/>
    </w:pPr>
  </w:style>
  <w:style w:type="paragraph" w:styleId="704">
    <w:name w:val="Title"/>
    <w:basedOn w:val="862"/>
    <w:next w:val="862"/>
    <w:link w:val="70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5">
    <w:name w:val="Title Char"/>
    <w:link w:val="704"/>
    <w:uiPriority w:val="10"/>
    <w:rPr>
      <w:sz w:val="48"/>
      <w:szCs w:val="48"/>
    </w:rPr>
  </w:style>
  <w:style w:type="paragraph" w:styleId="706">
    <w:name w:val="Subtitle"/>
    <w:basedOn w:val="862"/>
    <w:next w:val="862"/>
    <w:link w:val="707"/>
    <w:uiPriority w:val="11"/>
    <w:qFormat/>
    <w:pPr>
      <w:spacing w:before="200" w:after="200"/>
    </w:pPr>
    <w:rPr>
      <w:sz w:val="24"/>
      <w:szCs w:val="24"/>
    </w:rPr>
  </w:style>
  <w:style w:type="character" w:styleId="707">
    <w:name w:val="Subtitle Char"/>
    <w:link w:val="706"/>
    <w:uiPriority w:val="11"/>
    <w:rPr>
      <w:sz w:val="24"/>
      <w:szCs w:val="24"/>
    </w:rPr>
  </w:style>
  <w:style w:type="paragraph" w:styleId="708">
    <w:name w:val="Quote"/>
    <w:basedOn w:val="862"/>
    <w:next w:val="862"/>
    <w:link w:val="709"/>
    <w:uiPriority w:val="29"/>
    <w:qFormat/>
    <w:pPr>
      <w:ind w:left="720" w:right="720"/>
    </w:pPr>
    <w:rPr>
      <w:i/>
    </w:rPr>
  </w:style>
  <w:style w:type="character" w:styleId="709">
    <w:name w:val="Quote Char"/>
    <w:link w:val="708"/>
    <w:uiPriority w:val="29"/>
    <w:rPr>
      <w:i/>
    </w:rPr>
  </w:style>
  <w:style w:type="paragraph" w:styleId="710">
    <w:name w:val="Intense Quote"/>
    <w:basedOn w:val="862"/>
    <w:next w:val="862"/>
    <w:link w:val="71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1">
    <w:name w:val="Intense Quote Char"/>
    <w:link w:val="710"/>
    <w:uiPriority w:val="30"/>
    <w:rPr>
      <w:i/>
    </w:rPr>
  </w:style>
  <w:style w:type="paragraph" w:styleId="712">
    <w:name w:val="Header"/>
    <w:basedOn w:val="862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3">
    <w:name w:val="Header Char"/>
    <w:link w:val="712"/>
    <w:uiPriority w:val="99"/>
  </w:style>
  <w:style w:type="paragraph" w:styleId="714">
    <w:name w:val="Footer"/>
    <w:basedOn w:val="862"/>
    <w:link w:val="71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5">
    <w:name w:val="Footer Char"/>
    <w:link w:val="714"/>
    <w:uiPriority w:val="99"/>
  </w:style>
  <w:style w:type="paragraph" w:styleId="716">
    <w:name w:val="Caption"/>
    <w:basedOn w:val="862"/>
    <w:next w:val="862"/>
    <w:link w:val="7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7">
    <w:name w:val="Caption Char"/>
    <w:link w:val="716"/>
    <w:uiPriority w:val="35"/>
    <w:rPr>
      <w:b/>
      <w:bCs/>
      <w:color w:val="4f81bd" w:themeColor="accent1"/>
      <w:sz w:val="18"/>
      <w:szCs w:val="18"/>
    </w:rPr>
  </w:style>
  <w:style w:type="table" w:styleId="71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4">
    <w:name w:val="Hyperlink"/>
    <w:uiPriority w:val="99"/>
    <w:unhideWhenUsed/>
    <w:rPr>
      <w:color w:val="0000ff" w:themeColor="hyperlink"/>
      <w:u w:val="single"/>
    </w:rPr>
  </w:style>
  <w:style w:type="paragraph" w:styleId="845">
    <w:name w:val="footnote text"/>
    <w:basedOn w:val="862"/>
    <w:link w:val="846"/>
    <w:uiPriority w:val="99"/>
    <w:semiHidden/>
    <w:unhideWhenUsed/>
    <w:pPr>
      <w:spacing w:after="40" w:line="240" w:lineRule="auto"/>
    </w:pPr>
    <w:rPr>
      <w:sz w:val="18"/>
    </w:rPr>
  </w:style>
  <w:style w:type="character" w:styleId="846">
    <w:name w:val="Footnote Text Char"/>
    <w:link w:val="845"/>
    <w:uiPriority w:val="99"/>
    <w:rPr>
      <w:sz w:val="18"/>
    </w:rPr>
  </w:style>
  <w:style w:type="character" w:styleId="847">
    <w:name w:val="footnote reference"/>
    <w:uiPriority w:val="99"/>
    <w:unhideWhenUsed/>
    <w:rPr>
      <w:vertAlign w:val="superscript"/>
    </w:rPr>
  </w:style>
  <w:style w:type="paragraph" w:styleId="848">
    <w:name w:val="endnote text"/>
    <w:basedOn w:val="862"/>
    <w:link w:val="849"/>
    <w:uiPriority w:val="99"/>
    <w:semiHidden/>
    <w:unhideWhenUsed/>
    <w:pPr>
      <w:spacing w:after="0" w:line="240" w:lineRule="auto"/>
    </w:pPr>
    <w:rPr>
      <w:sz w:val="20"/>
    </w:rPr>
  </w:style>
  <w:style w:type="character" w:styleId="849">
    <w:name w:val="Endnote Text Char"/>
    <w:link w:val="848"/>
    <w:uiPriority w:val="99"/>
    <w:rPr>
      <w:sz w:val="20"/>
    </w:rPr>
  </w:style>
  <w:style w:type="character" w:styleId="850">
    <w:name w:val="endnote reference"/>
    <w:uiPriority w:val="99"/>
    <w:semiHidden/>
    <w:unhideWhenUsed/>
    <w:rPr>
      <w:vertAlign w:val="superscript"/>
    </w:rPr>
  </w:style>
  <w:style w:type="paragraph" w:styleId="851">
    <w:name w:val="toc 1"/>
    <w:basedOn w:val="862"/>
    <w:next w:val="862"/>
    <w:uiPriority w:val="39"/>
    <w:unhideWhenUsed/>
    <w:pPr>
      <w:ind w:left="0" w:right="0" w:firstLine="0"/>
      <w:spacing w:after="57"/>
    </w:pPr>
  </w:style>
  <w:style w:type="paragraph" w:styleId="852">
    <w:name w:val="toc 2"/>
    <w:basedOn w:val="862"/>
    <w:next w:val="862"/>
    <w:uiPriority w:val="39"/>
    <w:unhideWhenUsed/>
    <w:pPr>
      <w:ind w:left="283" w:right="0" w:firstLine="0"/>
      <w:spacing w:after="57"/>
    </w:pPr>
  </w:style>
  <w:style w:type="paragraph" w:styleId="853">
    <w:name w:val="toc 3"/>
    <w:basedOn w:val="862"/>
    <w:next w:val="862"/>
    <w:uiPriority w:val="39"/>
    <w:unhideWhenUsed/>
    <w:pPr>
      <w:ind w:left="567" w:right="0" w:firstLine="0"/>
      <w:spacing w:after="57"/>
    </w:pPr>
  </w:style>
  <w:style w:type="paragraph" w:styleId="854">
    <w:name w:val="toc 4"/>
    <w:basedOn w:val="862"/>
    <w:next w:val="862"/>
    <w:uiPriority w:val="39"/>
    <w:unhideWhenUsed/>
    <w:pPr>
      <w:ind w:left="850" w:right="0" w:firstLine="0"/>
      <w:spacing w:after="57"/>
    </w:pPr>
  </w:style>
  <w:style w:type="paragraph" w:styleId="855">
    <w:name w:val="toc 5"/>
    <w:basedOn w:val="862"/>
    <w:next w:val="862"/>
    <w:uiPriority w:val="39"/>
    <w:unhideWhenUsed/>
    <w:pPr>
      <w:ind w:left="1134" w:right="0" w:firstLine="0"/>
      <w:spacing w:after="57"/>
    </w:pPr>
  </w:style>
  <w:style w:type="paragraph" w:styleId="856">
    <w:name w:val="toc 6"/>
    <w:basedOn w:val="862"/>
    <w:next w:val="862"/>
    <w:uiPriority w:val="39"/>
    <w:unhideWhenUsed/>
    <w:pPr>
      <w:ind w:left="1417" w:right="0" w:firstLine="0"/>
      <w:spacing w:after="57"/>
    </w:pPr>
  </w:style>
  <w:style w:type="paragraph" w:styleId="857">
    <w:name w:val="toc 7"/>
    <w:basedOn w:val="862"/>
    <w:next w:val="862"/>
    <w:uiPriority w:val="39"/>
    <w:unhideWhenUsed/>
    <w:pPr>
      <w:ind w:left="1701" w:right="0" w:firstLine="0"/>
      <w:spacing w:after="57"/>
    </w:pPr>
  </w:style>
  <w:style w:type="paragraph" w:styleId="858">
    <w:name w:val="toc 8"/>
    <w:basedOn w:val="862"/>
    <w:next w:val="862"/>
    <w:uiPriority w:val="39"/>
    <w:unhideWhenUsed/>
    <w:pPr>
      <w:ind w:left="1984" w:right="0" w:firstLine="0"/>
      <w:spacing w:after="57"/>
    </w:pPr>
  </w:style>
  <w:style w:type="paragraph" w:styleId="859">
    <w:name w:val="toc 9"/>
    <w:basedOn w:val="862"/>
    <w:next w:val="862"/>
    <w:uiPriority w:val="39"/>
    <w:unhideWhenUsed/>
    <w:pPr>
      <w:ind w:left="2268" w:right="0" w:firstLine="0"/>
      <w:spacing w:after="57"/>
    </w:pPr>
  </w:style>
  <w:style w:type="paragraph" w:styleId="860">
    <w:name w:val="TOC Heading"/>
    <w:uiPriority w:val="39"/>
    <w:unhideWhenUsed/>
  </w:style>
  <w:style w:type="paragraph" w:styleId="861">
    <w:name w:val="table of figures"/>
    <w:basedOn w:val="862"/>
    <w:next w:val="862"/>
    <w:uiPriority w:val="99"/>
    <w:unhideWhenUsed/>
    <w:pPr>
      <w:spacing w:after="0" w:afterAutospacing="0"/>
    </w:pPr>
  </w:style>
  <w:style w:type="paragraph" w:styleId="862" w:default="1">
    <w:name w:val="Normal"/>
    <w:next w:val="862"/>
    <w:link w:val="862"/>
    <w:qFormat/>
    <w:rPr>
      <w:lang w:val="ru-RU" w:eastAsia="ru-RU" w:bidi="ar-SA"/>
    </w:rPr>
  </w:style>
  <w:style w:type="paragraph" w:styleId="863">
    <w:name w:val="Заголовок 1"/>
    <w:basedOn w:val="862"/>
    <w:next w:val="862"/>
    <w:link w:val="862"/>
    <w:qFormat/>
    <w:pPr>
      <w:jc w:val="center"/>
      <w:keepNext/>
      <w:outlineLvl w:val="0"/>
    </w:pPr>
    <w:rPr>
      <w:b/>
      <w:sz w:val="28"/>
    </w:rPr>
  </w:style>
  <w:style w:type="paragraph" w:styleId="864">
    <w:name w:val="Заголовок 2"/>
    <w:basedOn w:val="862"/>
    <w:next w:val="862"/>
    <w:link w:val="862"/>
    <w:qFormat/>
    <w:pPr>
      <w:jc w:val="center"/>
      <w:keepNext/>
      <w:outlineLvl w:val="1"/>
    </w:pPr>
    <w:rPr>
      <w:b/>
      <w:sz w:val="24"/>
    </w:rPr>
  </w:style>
  <w:style w:type="paragraph" w:styleId="865">
    <w:name w:val="Заголовок 3"/>
    <w:basedOn w:val="862"/>
    <w:next w:val="862"/>
    <w:link w:val="862"/>
    <w:qFormat/>
    <w:pPr>
      <w:jc w:val="center"/>
      <w:keepNext/>
      <w:outlineLvl w:val="2"/>
    </w:pPr>
    <w:rPr>
      <w:sz w:val="28"/>
    </w:rPr>
  </w:style>
  <w:style w:type="character" w:styleId="866">
    <w:name w:val="Основной шрифт абзаца"/>
    <w:next w:val="866"/>
    <w:link w:val="862"/>
    <w:semiHidden/>
  </w:style>
  <w:style w:type="table" w:styleId="867">
    <w:name w:val="Обычная таблица"/>
    <w:next w:val="867"/>
    <w:link w:val="862"/>
    <w:semiHidden/>
    <w:tblPr/>
  </w:style>
  <w:style w:type="numbering" w:styleId="868">
    <w:name w:val="Нет списка"/>
    <w:next w:val="868"/>
    <w:link w:val="862"/>
    <w:semiHidden/>
  </w:style>
  <w:style w:type="paragraph" w:styleId="869">
    <w:name w:val="Верхний колонтитул"/>
    <w:basedOn w:val="862"/>
    <w:next w:val="869"/>
    <w:link w:val="862"/>
    <w:pPr>
      <w:jc w:val="both"/>
      <w:tabs>
        <w:tab w:val="center" w:pos="4536" w:leader="none"/>
        <w:tab w:val="right" w:pos="9072" w:leader="none"/>
      </w:tabs>
    </w:pPr>
    <w:rPr>
      <w:sz w:val="24"/>
    </w:rPr>
  </w:style>
  <w:style w:type="character" w:styleId="870">
    <w:name w:val="Номер страницы"/>
    <w:basedOn w:val="866"/>
    <w:next w:val="870"/>
    <w:link w:val="862"/>
  </w:style>
  <w:style w:type="paragraph" w:styleId="871">
    <w:name w:val="Нижний колонтитул"/>
    <w:basedOn w:val="862"/>
    <w:next w:val="871"/>
    <w:link w:val="862"/>
    <w:pPr>
      <w:jc w:val="both"/>
      <w:tabs>
        <w:tab w:val="center" w:pos="4536" w:leader="none"/>
        <w:tab w:val="right" w:pos="9072" w:leader="none"/>
      </w:tabs>
    </w:pPr>
    <w:rPr>
      <w:sz w:val="24"/>
    </w:rPr>
  </w:style>
  <w:style w:type="paragraph" w:styleId="872">
    <w:name w:val="Основной текст с отступом 3"/>
    <w:basedOn w:val="862"/>
    <w:next w:val="872"/>
    <w:link w:val="875"/>
    <w:pPr>
      <w:jc w:val="center"/>
    </w:pPr>
    <w:rPr>
      <w:sz w:val="24"/>
      <w:lang w:val="en-US" w:eastAsia="en-US"/>
    </w:rPr>
  </w:style>
  <w:style w:type="paragraph" w:styleId="873">
    <w:name w:val="Текст выноски"/>
    <w:basedOn w:val="862"/>
    <w:next w:val="873"/>
    <w:link w:val="862"/>
    <w:semiHidden/>
    <w:rPr>
      <w:rFonts w:ascii="Tahoma" w:hAnsi="Tahoma" w:cs="Tahoma"/>
      <w:sz w:val="16"/>
      <w:szCs w:val="16"/>
    </w:rPr>
  </w:style>
  <w:style w:type="paragraph" w:styleId="874">
    <w:name w:val="Основной текст с отступом"/>
    <w:basedOn w:val="862"/>
    <w:next w:val="874"/>
    <w:link w:val="862"/>
    <w:pPr>
      <w:ind w:left="283"/>
      <w:spacing w:after="120"/>
    </w:pPr>
  </w:style>
  <w:style w:type="character" w:styleId="875">
    <w:name w:val="Основной текст с отступом 3 Знак"/>
    <w:next w:val="875"/>
    <w:link w:val="872"/>
    <w:rPr>
      <w:sz w:val="24"/>
    </w:rPr>
  </w:style>
  <w:style w:type="paragraph" w:styleId="876">
    <w:name w:val="ConsPlusNormal"/>
    <w:next w:val="876"/>
    <w:link w:val="862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character" w:styleId="877" w:default="1">
    <w:name w:val="Default Paragraph Font"/>
    <w:uiPriority w:val="1"/>
    <w:semiHidden/>
    <w:unhideWhenUsed/>
  </w:style>
  <w:style w:type="numbering" w:styleId="878" w:default="1">
    <w:name w:val="No List"/>
    <w:uiPriority w:val="99"/>
    <w:semiHidden/>
    <w:unhideWhenUsed/>
  </w:style>
  <w:style w:type="table" w:styleId="879" w:default="1">
    <w:name w:val="Normal Table"/>
    <w:uiPriority w:val="99"/>
    <w:semiHidden/>
    <w:unhideWhenUsed/>
    <w:tblPr/>
  </w:style>
  <w:style w:type="paragraph" w:styleId="880" w:customStyle="1">
    <w:name w:val="Обычный + По ширине,Первая строка:  0,95 см"/>
    <w:pPr>
      <w:contextualSpacing w:val="0"/>
      <w:ind w:left="0" w:right="0" w:firstLine="708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Abriks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TarasovaAN</dc:creator>
  <cp:lastModifiedBy>Mashburo</cp:lastModifiedBy>
  <cp:revision>11</cp:revision>
  <dcterms:created xsi:type="dcterms:W3CDTF">2019-10-21T04:53:00Z</dcterms:created>
  <dcterms:modified xsi:type="dcterms:W3CDTF">2025-10-22T04:34:33Z</dcterms:modified>
  <cp:version>917504</cp:version>
</cp:coreProperties>
</file>