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drawing>
          <wp:inline distT="0" distB="0" distL="114300" distR="114300">
            <wp:extent cx="641985" cy="885190"/>
            <wp:effectExtent l="0" t="0" r="5715" b="10160"/>
            <wp:docPr id="1" name="Изображение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Gerb_New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1985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БЕЛОЯРСКИЙ РАЙОН</w:t>
      </w:r>
    </w:p>
    <w:p>
      <w:pPr>
        <w:pStyle w:val="4"/>
        <w:spacing w:after="0" w:line="240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ХАНТЫ-МАНСИЙСКИЙ АВТОНОМНЫЙ ОКРУГ - ЮГРА</w:t>
      </w:r>
    </w:p>
    <w:p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>
      <w:pPr>
        <w:pStyle w:val="2"/>
        <w:spacing w:after="0" w:line="24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АДМИНИСТРАЦИЯ БЕЛОЯРСКОГО РАЙОНА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>
      <w:pPr>
        <w:pStyle w:val="3"/>
        <w:spacing w:after="0" w:line="240" w:lineRule="auto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b w:val="0"/>
          <w:bCs/>
          <w:szCs w:val="24"/>
        </w:rPr>
        <w:t>Проект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>
      <w:pPr>
        <w:pStyle w:val="2"/>
        <w:spacing w:after="0" w:line="24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ПОСТАНОВЛЕНИЕ</w:t>
      </w:r>
    </w:p>
    <w:p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>
      <w:pPr>
        <w:pStyle w:val="9"/>
        <w:spacing w:after="0" w:line="240" w:lineRule="auto"/>
        <w:rPr>
          <w:rFonts w:ascii="Times New Roman" w:hAnsi="Times New Roman"/>
          <w:szCs w:val="24"/>
        </w:rPr>
      </w:pPr>
    </w:p>
    <w:p>
      <w:pPr>
        <w:pStyle w:val="9"/>
        <w:spacing w:after="0" w:line="240" w:lineRule="auto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от «___» декабря 2024 года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           № ____</w:t>
      </w:r>
    </w:p>
    <w:p>
      <w:pPr>
        <w:pStyle w:val="9"/>
        <w:spacing w:after="0" w:line="240" w:lineRule="auto"/>
        <w:rPr>
          <w:rFonts w:ascii="Times New Roman" w:hAnsi="Times New Roman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Об утвержден</w:t>
      </w:r>
      <w:r>
        <w:rPr>
          <w:rFonts w:ascii="Times New Roman" w:hAnsi="Times New Roman" w:eastAsia="Times New Roman"/>
          <w:b/>
          <w:bCs/>
          <w:sz w:val="24"/>
          <w:szCs w:val="24"/>
        </w:rPr>
        <w:t xml:space="preserve">ии муниципальной программы Белоярского района 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/>
          <w:b/>
          <w:bCs/>
          <w:sz w:val="24"/>
          <w:szCs w:val="24"/>
        </w:rPr>
      </w:pPr>
      <w:r>
        <w:rPr>
          <w:rFonts w:ascii="Times New Roman" w:hAnsi="Times New Roman" w:eastAsia="Times New Roman"/>
          <w:b/>
          <w:bCs/>
          <w:sz w:val="24"/>
          <w:szCs w:val="24"/>
        </w:rPr>
        <w:t>«Профилактика терроризма и правонарушений в сфере общественного порядка»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постановлением администрации Белоярского района от 3 сентября 2018 года № 776 «Об утверждении Порядка принятия решений о разработке, формировании и реализации муниципальных программ Белоярского района», распоряжением администрации Белоярского района от 15 августа 2018 года № 245-р «О Перечне муниципальных программ Белоярского района» п о с т а н о в л я ю: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Утвердить прилагаемую муниципальную программу Белоярского района «Профилактика терроризма и правонарушений в сфере общественного порядка».</w:t>
      </w:r>
    </w:p>
    <w:p>
      <w:pPr>
        <w:pStyle w:val="9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Опубликовать настоящее постановление в газете «Белоярские вести. Официальный выпуск».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Настоящее постановление вступает в силу после его официального опубликования, но не ранее 1 января 2025 года.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4. Контроль за выполнением постановления возложить на начальника отдела по организации профилактики правонарушений администрации Белоярского района    Фомина В.А.</w:t>
      </w:r>
    </w:p>
    <w:p>
      <w:pPr>
        <w:pStyle w:val="14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14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14"/>
        <w:ind w:firstLine="0"/>
        <w:jc w:val="both"/>
        <w:outlineLvl w:val="2"/>
        <w:rPr>
          <w:sz w:val="24"/>
          <w:szCs w:val="24"/>
        </w:rPr>
        <w:sectPr>
          <w:headerReference r:id="rId6" w:type="first"/>
          <w:headerReference r:id="rId5" w:type="default"/>
          <w:pgSz w:w="11906" w:h="16838"/>
          <w:pgMar w:top="1134" w:right="850" w:bottom="1576" w:left="1701" w:header="708" w:footer="709" w:gutter="0"/>
          <w:cols w:space="0" w:num="1"/>
          <w:titlePg/>
          <w:docGrid w:linePitch="360" w:charSpace="0"/>
        </w:sectPr>
      </w:pPr>
      <w:r>
        <w:rPr>
          <w:rFonts w:ascii="Times New Roman" w:hAnsi="Times New Roman" w:cs="Times New Roman"/>
          <w:sz w:val="24"/>
          <w:szCs w:val="24"/>
        </w:rPr>
        <w:t>Глава Белоярского района                                                                                     С.П. Маненков</w:t>
      </w:r>
    </w:p>
    <w:p>
      <w:pPr>
        <w:spacing w:after="0"/>
        <w:ind w:left="5381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УТВЕРЖДЕНА</w:t>
      </w:r>
    </w:p>
    <w:p>
      <w:pPr>
        <w:spacing w:after="0"/>
        <w:ind w:left="5382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постановлением администрации</w:t>
      </w:r>
    </w:p>
    <w:p>
      <w:pPr>
        <w:spacing w:after="0"/>
        <w:ind w:left="5382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Белоярского района</w:t>
      </w:r>
    </w:p>
    <w:p>
      <w:pPr>
        <w:spacing w:after="0"/>
        <w:ind w:left="5382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от _______________ № _______</w:t>
      </w:r>
    </w:p>
    <w:p>
      <w:pPr>
        <w:pStyle w:val="14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1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Муниципальная программа Белоярского района</w:t>
      </w:r>
    </w:p>
    <w:p>
      <w:pPr>
        <w:pStyle w:val="1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«Профилактика терроризма и правонарушений в сфере общественного порядка» </w:t>
      </w:r>
    </w:p>
    <w:p>
      <w:pPr>
        <w:pStyle w:val="1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(далее также – муниципальная программа)</w:t>
      </w:r>
    </w:p>
    <w:p>
      <w:pPr>
        <w:pStyle w:val="14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ПАСПОРТ</w:t>
      </w:r>
    </w:p>
    <w:p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муниципальной программы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Белоярского района </w:t>
      </w:r>
    </w:p>
    <w:p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«Профилактика терроризма и правонарушений в сфере общественного порядка»</w:t>
      </w:r>
    </w:p>
    <w:p>
      <w:pPr>
        <w:pStyle w:val="14"/>
        <w:spacing w:line="276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/>
        <w:jc w:val="center"/>
        <w:rPr>
          <w:rFonts w:ascii="Times New Roman" w:hAnsi="Times New Roman" w:eastAsiaTheme="minorHAnsi"/>
          <w:sz w:val="24"/>
          <w:szCs w:val="24"/>
          <w:lang w:val="en-US"/>
        </w:rPr>
      </w:pPr>
      <w:r>
        <w:rPr>
          <w:rFonts w:ascii="Times New Roman" w:hAnsi="Times New Roman" w:eastAsiaTheme="minorHAnsi"/>
          <w:sz w:val="24"/>
          <w:szCs w:val="24"/>
        </w:rPr>
        <w:t>1. Основные положения</w:t>
      </w:r>
    </w:p>
    <w:tbl>
      <w:tblPr>
        <w:tblStyle w:val="6"/>
        <w:tblW w:w="15310" w:type="dxa"/>
        <w:tblInd w:w="-8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575"/>
        <w:gridCol w:w="7735"/>
      </w:tblGrid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Theme="minorHAnsi"/>
              </w:rPr>
            </w:pPr>
            <w:r>
              <w:rPr>
                <w:rFonts w:ascii="Times New Roman" w:hAnsi="Times New Roman" w:eastAsiaTheme="minorHAnsi"/>
              </w:rPr>
              <w:t>Куратор муниципальной программы</w:t>
            </w:r>
          </w:p>
        </w:tc>
        <w:tc>
          <w:tcPr>
            <w:tcW w:w="7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textAlignment w:val="bottom"/>
              <w:rPr>
                <w:rFonts w:ascii="Times New Roman" w:hAnsi="Times New Roman" w:eastAsiaTheme="minorHAnsi"/>
              </w:rPr>
            </w:pPr>
            <w:r>
              <w:rPr>
                <w:rFonts w:ascii="Times New Roman" w:hAnsi="Times New Roman" w:eastAsia="SimSun"/>
                <w:color w:val="auto"/>
                <w:lang w:eastAsia="zh-CN" w:bidi="ar"/>
              </w:rPr>
              <w:t>Первый заместитель главы Белоярского района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Theme="minorHAnsi"/>
              </w:rPr>
            </w:pPr>
            <w:r>
              <w:rPr>
                <w:rFonts w:ascii="Times New Roman" w:hAnsi="Times New Roman" w:eastAsiaTheme="minorHAnsi"/>
              </w:rPr>
              <w:t>Ответственный исполнитель муниципальной программы</w:t>
            </w:r>
            <w:bookmarkStart w:id="4" w:name="_GoBack"/>
            <w:bookmarkEnd w:id="4"/>
          </w:p>
        </w:tc>
        <w:tc>
          <w:tcPr>
            <w:tcW w:w="7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textAlignment w:val="bottom"/>
              <w:rPr>
                <w:rFonts w:ascii="Times New Roman" w:hAnsi="Times New Roman" w:eastAsiaTheme="minorHAnsi"/>
              </w:rPr>
            </w:pPr>
            <w:r>
              <w:rPr>
                <w:rFonts w:ascii="Times New Roman" w:hAnsi="Times New Roman" w:eastAsia="SimSun"/>
                <w:color w:val="000000"/>
                <w:lang w:eastAsia="zh-CN" w:bidi="ar"/>
              </w:rPr>
              <w:t>Отдел по организации профилактики правонарушений  администрации Белоярского района (далее – ООПП)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Theme="minorHAnsi"/>
              </w:rPr>
            </w:pPr>
            <w:r>
              <w:rPr>
                <w:rFonts w:ascii="Times New Roman" w:hAnsi="Times New Roman" w:eastAsiaTheme="minorHAnsi"/>
              </w:rPr>
              <w:t>Период реализации муниципальной программы</w:t>
            </w:r>
          </w:p>
        </w:tc>
        <w:tc>
          <w:tcPr>
            <w:tcW w:w="7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textAlignment w:val="bottom"/>
              <w:rPr>
                <w:rFonts w:ascii="Times New Roman" w:hAnsi="Times New Roman" w:eastAsiaTheme="minorHAnsi"/>
              </w:rPr>
            </w:pPr>
            <w:r>
              <w:rPr>
                <w:rFonts w:ascii="Times New Roman" w:hAnsi="Times New Roman" w:eastAsia="SimSun"/>
                <w:color w:val="000000"/>
                <w:lang w:val="en-US" w:eastAsia="zh-CN" w:bidi="ar"/>
              </w:rPr>
              <w:t>2025-2030</w:t>
            </w:r>
            <w:r>
              <w:rPr>
                <w:rFonts w:ascii="Times New Roman" w:hAnsi="Times New Roman" w:eastAsia="SimSun"/>
                <w:color w:val="000000"/>
                <w:lang w:eastAsia="zh-CN" w:bidi="ar"/>
              </w:rPr>
              <w:t xml:space="preserve"> годы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499" w:hRule="atLeast"/>
        </w:trPr>
        <w:tc>
          <w:tcPr>
            <w:tcW w:w="7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Theme="minorHAnsi"/>
              </w:rPr>
            </w:pPr>
            <w:r>
              <w:rPr>
                <w:rFonts w:ascii="Times New Roman" w:hAnsi="Times New Roman" w:eastAsiaTheme="minorHAnsi"/>
              </w:rPr>
              <w:t>Цели муниципальной программы</w:t>
            </w:r>
          </w:p>
        </w:tc>
        <w:tc>
          <w:tcPr>
            <w:tcW w:w="7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textAlignment w:val="top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SimSun"/>
                <w:color w:val="000000"/>
                <w:lang w:eastAsia="zh-CN" w:bidi="ar"/>
              </w:rPr>
              <w:t>Совершенствование системы профилактики терроризма, повышение уровня общественного порядка на территории Белоярского района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Theme="minorHAnsi"/>
              </w:rPr>
            </w:pPr>
            <w:r>
              <w:rPr>
                <w:rFonts w:ascii="Times New Roman" w:hAnsi="Times New Roman" w:eastAsiaTheme="minorHAnsi"/>
              </w:rPr>
              <w:t>Направления (подпрограммы) муниципальной программы</w:t>
            </w:r>
          </w:p>
        </w:tc>
        <w:tc>
          <w:tcPr>
            <w:tcW w:w="7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Theme="minorHAnsi"/>
                <w:lang w:val="en-US"/>
              </w:rPr>
            </w:pPr>
            <w:r>
              <w:rPr>
                <w:rFonts w:ascii="Times New Roman" w:hAnsi="Times New Roman" w:eastAsiaTheme="minorHAnsi"/>
                <w:lang w:val="en-US"/>
              </w:rPr>
              <w:t>-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Theme="minorHAnsi"/>
              </w:rPr>
            </w:pPr>
            <w:r>
              <w:rPr>
                <w:rFonts w:ascii="Times New Roman" w:hAnsi="Times New Roman" w:eastAsiaTheme="minorHAnsi"/>
              </w:rPr>
              <w:t>Объемы финансового обеспечения за весь период реализации</w:t>
            </w:r>
          </w:p>
        </w:tc>
        <w:tc>
          <w:tcPr>
            <w:tcW w:w="7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Theme="minorHAnsi"/>
              </w:rPr>
            </w:pPr>
            <w:r>
              <w:rPr>
                <w:rFonts w:ascii="Times New Roman" w:hAnsi="Times New Roman" w:eastAsiaTheme="minorHAnsi"/>
              </w:rPr>
              <w:t>13 849,9 тысяч рублей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91" w:hRule="atLeast"/>
        </w:trPr>
        <w:tc>
          <w:tcPr>
            <w:tcW w:w="7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Theme="minorHAnsi"/>
              </w:rPr>
            </w:pPr>
            <w:r>
              <w:rPr>
                <w:rFonts w:ascii="Times New Roman" w:hAnsi="Times New Roman" w:eastAsiaTheme="minorHAnsi"/>
              </w:rPr>
              <w:t>Связь с национальными целями развития Российской Федерации/ государственными программами Ханты-Мансийского автономного округа - Югры</w:t>
            </w:r>
          </w:p>
        </w:tc>
        <w:tc>
          <w:tcPr>
            <w:tcW w:w="7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Theme="minorHAnsi"/>
              </w:rPr>
            </w:pPr>
            <w:r>
              <w:rPr>
                <w:rFonts w:ascii="Times New Roman" w:hAnsi="Times New Roman" w:eastAsiaTheme="minorHAnsi"/>
              </w:rPr>
              <w:t>Государственная  программа Ханты-Мансийского автономного округа - Югры «Безопасность жизнедеятельности и профилактика правонарушений»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Theme="minorHAnsi"/>
          <w:sz w:val="24"/>
          <w:szCs w:val="24"/>
        </w:rPr>
      </w:pPr>
    </w:p>
    <w:p>
      <w:pPr>
        <w:pageBreakBefore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Theme="minorHAnsi"/>
          <w:sz w:val="24"/>
          <w:szCs w:val="24"/>
        </w:rPr>
      </w:pPr>
      <w:r>
        <w:rPr>
          <w:rFonts w:ascii="Times New Roman" w:hAnsi="Times New Roman" w:eastAsiaTheme="minorHAnsi"/>
          <w:sz w:val="24"/>
          <w:szCs w:val="24"/>
        </w:rPr>
        <w:t>2. Показатели муниципальной программы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Theme="minorHAnsi"/>
          <w:sz w:val="24"/>
          <w:szCs w:val="24"/>
        </w:rPr>
      </w:pPr>
    </w:p>
    <w:tbl>
      <w:tblPr>
        <w:tblStyle w:val="6"/>
        <w:tblW w:w="15310" w:type="dxa"/>
        <w:tblInd w:w="-85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2255"/>
        <w:gridCol w:w="1023"/>
        <w:gridCol w:w="907"/>
        <w:gridCol w:w="635"/>
        <w:gridCol w:w="709"/>
        <w:gridCol w:w="709"/>
        <w:gridCol w:w="709"/>
        <w:gridCol w:w="621"/>
        <w:gridCol w:w="658"/>
        <w:gridCol w:w="709"/>
        <w:gridCol w:w="2395"/>
        <w:gridCol w:w="1574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5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N п/п</w:t>
            </w:r>
          </w:p>
        </w:tc>
        <w:tc>
          <w:tcPr>
            <w:tcW w:w="22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0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Единица измерения (по ОКЕИ) </w:t>
            </w:r>
          </w:p>
        </w:tc>
        <w:tc>
          <w:tcPr>
            <w:tcW w:w="15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bookmarkStart w:id="0" w:name="RANGE!D13"/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Базовое значение</w:t>
            </w:r>
            <w:bookmarkEnd w:id="0"/>
          </w:p>
        </w:tc>
        <w:tc>
          <w:tcPr>
            <w:tcW w:w="41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Значение показателя по годам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bookmarkStart w:id="1" w:name="RANGE!L13"/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Документ</w:t>
            </w:r>
            <w:bookmarkEnd w:id="1"/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bookmarkStart w:id="2" w:name="RANGE!M13"/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Ответственный за достижение показателя</w:t>
            </w:r>
            <w:bookmarkEnd w:id="2"/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bookmarkStart w:id="3" w:name="RANGE!N13"/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Связь с показателями национальных целей</w:t>
            </w:r>
            <w:bookmarkEnd w:id="3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2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значение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u w:val="single"/>
                <w:lang w:eastAsia="ru-RU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31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Цель Совершенствование системы профилактики терроризма, повышение уровня общественного порядка на территории Белоярского района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6" w:hRule="atLeast"/>
        </w:trPr>
        <w:tc>
          <w:tcPr>
            <w:tcW w:w="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Уровень преступности на улицах и в общественных местах  (число зарегистрированных преступлений на 100 тысяч человек населения)</w:t>
            </w:r>
          </w:p>
        </w:tc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285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283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278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275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272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Постановление Правительства ХМАО - Югры от 03.05.2024 №167-п «О мерах по реализации государственной программы Ханты-Мансийского автономного округа - Югры «Безопасность жизнедеятельности и профилактика правонарушений»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ООПП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Вовлеченность населения в незаконный оборот наркотиков (на 100 тысяч человек населения)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142,7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135,7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128,7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123,7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120,7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118,7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Распоряжение Губернатора ХМАО - Югры от 15.04.2021 N 102-рг "О перечне приоритетных направлений (плане мероприятий) реализации Стратегии государственной антинаркотической политики Российской Федерации на период до 2030 года в Ханты-Мансийском автономном округе - Югре"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ООПП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-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Theme="minorHAnsi"/>
          <w:sz w:val="24"/>
          <w:szCs w:val="24"/>
        </w:rPr>
      </w:pPr>
    </w:p>
    <w:p>
      <w:pPr>
        <w:pageBreakBefore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Theme="minorHAnsi"/>
          <w:sz w:val="24"/>
          <w:szCs w:val="24"/>
        </w:rPr>
      </w:pPr>
      <w:r>
        <w:rPr>
          <w:rFonts w:ascii="Times New Roman" w:hAnsi="Times New Roman" w:eastAsiaTheme="minorHAnsi"/>
          <w:sz w:val="24"/>
          <w:szCs w:val="24"/>
        </w:rPr>
        <w:t>3. Структура муниципальной программы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Theme="minorHAnsi"/>
          <w:sz w:val="24"/>
          <w:szCs w:val="24"/>
        </w:rPr>
      </w:pPr>
    </w:p>
    <w:tbl>
      <w:tblPr>
        <w:tblStyle w:val="6"/>
        <w:tblW w:w="15358" w:type="dxa"/>
        <w:tblInd w:w="-85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3860"/>
        <w:gridCol w:w="6096"/>
        <w:gridCol w:w="44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tblHeader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971" w:firstLine="971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3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>Задачи структурного элемента</w:t>
            </w:r>
          </w:p>
        </w:tc>
        <w:tc>
          <w:tcPr>
            <w:tcW w:w="6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Краткое описание ожидаемых эффектов от реализации задачи структурного элемента  </w:t>
            </w:r>
          </w:p>
        </w:tc>
        <w:tc>
          <w:tcPr>
            <w:tcW w:w="4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>Связь с показателями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3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>Комплекс процессных мероприятий «Совершенствование системы профилактики терроризма и правонарушений в сфере общественного порядка»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>Ответственный за реализацию:  ООПП</w:t>
            </w:r>
          </w:p>
        </w:tc>
        <w:tc>
          <w:tcPr>
            <w:tcW w:w="6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>Срок реализации: 2025-2030</w:t>
            </w:r>
          </w:p>
        </w:tc>
        <w:tc>
          <w:tcPr>
            <w:tcW w:w="4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3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>Участие в профилактике терроризма</w:t>
            </w:r>
          </w:p>
        </w:tc>
        <w:tc>
          <w:tcPr>
            <w:tcW w:w="6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>Информационное сопровождение противодействия терроризму.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>Организация и проведение мероприятий, посвященных памятной дате – «День солидарности в борьбе с терроризмом».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>Мониторинг состояния общественно-политических, социально-экономических и иных процессов, оказывающих влияние на ситуацию в сфере противодействия терроризму.</w:t>
            </w:r>
          </w:p>
        </w:tc>
        <w:tc>
          <w:tcPr>
            <w:tcW w:w="4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>Уровень преступности на улицах и в общественных местах  (число зарегистрированных преступлений на 100 тысяч человек населения)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3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>Совершенствование условий для обеспечения общественного порядка, в том числе с участием граждан, создание условий для деятельности народных дружин</w:t>
            </w:r>
          </w:p>
        </w:tc>
        <w:tc>
          <w:tcPr>
            <w:tcW w:w="6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4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>Уровень преступности на улицах и в общественных местах  (число зарегистрированных преступлений на 100 тысяч человек населения)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3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>Правовое просвещение и правовое информирование населения в сфере общественной безопасности</w:t>
            </w:r>
          </w:p>
        </w:tc>
        <w:tc>
          <w:tcPr>
            <w:tcW w:w="6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>Правовое просвещение и правовое информирование населения в сфере общественной безопасности.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>Проведение информационной антинаркотической политики.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>Участие в профилактических мероприятиях, акциях, проводимых субъектами профилактики наркомании Ханты-Мансийского автономного округа - Югры.</w:t>
            </w:r>
          </w:p>
        </w:tc>
        <w:tc>
          <w:tcPr>
            <w:tcW w:w="4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>Вовлеченность населения в незаконный оборот наркотиков (на 100 тысяч человек населения)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3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>Совершенствование материально-технического обеспечения охраны общественного порядка</w:t>
            </w:r>
          </w:p>
        </w:tc>
        <w:tc>
          <w:tcPr>
            <w:tcW w:w="6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>Обеспечение функционирования и развития  систем  видеонаблюдения, в том числе с целью повышения безопасности дорожного движения, информирования населения.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>Приобретение и установка технических средств для обеспечения безопасности в местах с массовым пребыванием людей.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>Обеспечение функционирования  системы   видеонаблюдения, установленной в здании администрации Белоярского района.</w:t>
            </w:r>
          </w:p>
        </w:tc>
        <w:tc>
          <w:tcPr>
            <w:tcW w:w="4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>Уровень преступности на улицах и в общественных местах  (число зарегистрированных преступлений на 100 тысяч человек населения)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3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>Комплекс процессных мероприятий  «Осуществление органами местного самоуправления отдельных государственных полномочий»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>Ответственный за реализацию:   ООПП</w:t>
            </w:r>
          </w:p>
        </w:tc>
        <w:tc>
          <w:tcPr>
            <w:tcW w:w="6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>Срок реализации: 2025-2030</w:t>
            </w:r>
          </w:p>
        </w:tc>
        <w:tc>
          <w:tcPr>
            <w:tcW w:w="4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3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Осуществление отдельного  государственного полномочия по созданию и обеспечению деятельности административных комиссий  </w:t>
            </w:r>
          </w:p>
        </w:tc>
        <w:tc>
          <w:tcPr>
            <w:tcW w:w="6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>Выполнение переданных отдельных государственных полномочий по созданию административных комиссий и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пунктом 2 статьи 48 Закона Ханты-Мансийского автономного округа – Югры от 11 июня 2010 года № 102-оз «Об административных правонарушениях»</w:t>
            </w:r>
          </w:p>
        </w:tc>
        <w:tc>
          <w:tcPr>
            <w:tcW w:w="4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Theme="minorHAnsi"/>
          <w:sz w:val="24"/>
          <w:szCs w:val="24"/>
        </w:rPr>
      </w:pPr>
    </w:p>
    <w:p>
      <w:pPr>
        <w:jc w:val="center"/>
        <w:rPr>
          <w:rFonts w:ascii="Times New Roman" w:hAnsi="Times New Roman"/>
          <w:sz w:val="24"/>
          <w:szCs w:val="24"/>
        </w:rPr>
      </w:pPr>
    </w:p>
    <w:p>
      <w:pPr>
        <w:pageBreakBefore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 Финансовое обеспечение муниципальной программы </w:t>
      </w:r>
    </w:p>
    <w:tbl>
      <w:tblPr>
        <w:tblStyle w:val="6"/>
        <w:tblW w:w="15277" w:type="dxa"/>
        <w:tblInd w:w="-85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7121"/>
        <w:gridCol w:w="1046"/>
        <w:gridCol w:w="1045"/>
        <w:gridCol w:w="1045"/>
        <w:gridCol w:w="974"/>
        <w:gridCol w:w="993"/>
        <w:gridCol w:w="992"/>
        <w:gridCol w:w="11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N п/п</w:t>
            </w:r>
          </w:p>
        </w:tc>
        <w:tc>
          <w:tcPr>
            <w:tcW w:w="71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Наименование муниципальной программы, структурного элемента, мероприятия (результата), источник финансового обеспечения</w:t>
            </w:r>
          </w:p>
        </w:tc>
        <w:tc>
          <w:tcPr>
            <w:tcW w:w="719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Объем финансового обеспечения по годам, тыс. рублей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2029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2030 год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Муниципальная программа «Профилактика терроризма и правонарушений в сфере общественного порядка»  (всего), в том числе: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2 261,4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2 317,9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2 317,4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2 317,4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2 317,4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2 317,4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13 848,9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бюджет ХМАО-Югры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1 949,1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2 005,5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2 005,1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2 005,1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2 005,1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2 005,1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11 975,0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бюджет Белоярского района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312,3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312,4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312,3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312,3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312,3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312,3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1 873,9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Объем налоговых расходов Белоярского района (справочно)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Комплекс процессных мероприятий «Совершенствование системы профилактики терроризма и правонарушений в сфере общественного порядка» (всего),  в том числе: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370,2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370,7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370,2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370,2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370,2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370,2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2 221,7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бюджет ХМАО-Югры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57,9</w:t>
            </w: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58,3</w:t>
            </w: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57,9</w:t>
            </w:r>
          </w:p>
        </w:tc>
        <w:tc>
          <w:tcPr>
            <w:tcW w:w="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57,9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57,9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57,9</w:t>
            </w:r>
          </w:p>
        </w:tc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347,8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бюджет Белоярского района</w:t>
            </w:r>
          </w:p>
        </w:tc>
        <w:tc>
          <w:tcPr>
            <w:tcW w:w="1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312,3</w:t>
            </w: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312,4</w:t>
            </w: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312,3</w:t>
            </w:r>
          </w:p>
        </w:tc>
        <w:tc>
          <w:tcPr>
            <w:tcW w:w="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312,3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312,3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312,3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1 873,9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7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мероприятие (результат)  «Участие в профилактике терроризма»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540,0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бюджет Белоярского района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540,0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7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мероприятие (результат)  «Оказание поддержки гражданам и их объединениям, участвующим в охране общественного порядка, создание условий для деятельности народных дружин»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72,4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72,9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72,4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72,4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72,4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72,4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434,9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бюджет ХМАО-Югры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57,9</w:t>
            </w: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58,3</w:t>
            </w: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57,9</w:t>
            </w:r>
          </w:p>
        </w:tc>
        <w:tc>
          <w:tcPr>
            <w:tcW w:w="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57,9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57,9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57,9</w:t>
            </w:r>
          </w:p>
        </w:tc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347,8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бюджет Белоярского района</w:t>
            </w:r>
          </w:p>
        </w:tc>
        <w:tc>
          <w:tcPr>
            <w:tcW w:w="1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14,5</w:t>
            </w: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14,6</w:t>
            </w: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14,5</w:t>
            </w:r>
          </w:p>
        </w:tc>
        <w:tc>
          <w:tcPr>
            <w:tcW w:w="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14,5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14,5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14,5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87,1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1.3.</w:t>
            </w: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мероприятие (результат)  «Правовое просвещение и правовое информирование населения в сфере общественной безопасности»</w:t>
            </w:r>
          </w:p>
        </w:tc>
        <w:tc>
          <w:tcPr>
            <w:tcW w:w="1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180,0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бюджет Белоярского района</w:t>
            </w:r>
          </w:p>
        </w:tc>
        <w:tc>
          <w:tcPr>
            <w:tcW w:w="10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180,0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1.4.</w:t>
            </w: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мероприятие (результат) «Обеспечение функционирования и развития  систем  видеонаблюдения, в том числе с целью повышения безопасности дорожного движения, информирования населения»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177,8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177,8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177,8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177,8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177,8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177,8</w:t>
            </w:r>
          </w:p>
        </w:tc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1 066,8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бюджет Белоярского района</w:t>
            </w:r>
          </w:p>
        </w:tc>
        <w:tc>
          <w:tcPr>
            <w:tcW w:w="1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177,8</w:t>
            </w: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177,8</w:t>
            </w: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177,8</w:t>
            </w:r>
          </w:p>
        </w:tc>
        <w:tc>
          <w:tcPr>
            <w:tcW w:w="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177,8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177,8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177,8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1 066,8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Комплекс процессных мероприятий  «Осуществление органами местного самоуправления отдельных государственных полномочий»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(всего), в том числе: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1 891,2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1 947,2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1 947,2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1 947,2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1 947,2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1 947,2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11 627,2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бюджет ХМАО-Югры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1 891,2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1 947,2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1 947,2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1 947,2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1 947,2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1 947,2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11 627,2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2.1.</w:t>
            </w:r>
          </w:p>
        </w:tc>
        <w:tc>
          <w:tcPr>
            <w:tcW w:w="7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мероприятие (результат) «Осуществление отдельного  государственного полномочия по созданию и обеспечению деятельности административных комиссий»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1 891,2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1 947,2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1 947,2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1 947,2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1 947,2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1 947,2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11 627,2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бюджет ХМАО-Югры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1 891,2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1 947,2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1 947,2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1 947,2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1 947,2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1 947,2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11 627,2</w:t>
            </w:r>
          </w:p>
        </w:tc>
      </w:tr>
    </w:tbl>
    <w:p>
      <w:pPr>
        <w:pStyle w:val="14"/>
        <w:jc w:val="both"/>
        <w:rPr>
          <w:sz w:val="18"/>
          <w:szCs w:val="18"/>
        </w:rPr>
      </w:pPr>
    </w:p>
    <w:p>
      <w:pPr>
        <w:pStyle w:val="14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3818255</wp:posOffset>
                </wp:positionH>
                <wp:positionV relativeFrom="paragraph">
                  <wp:posOffset>20955</wp:posOffset>
                </wp:positionV>
                <wp:extent cx="1609725" cy="9525"/>
                <wp:effectExtent l="0" t="0" r="0" b="0"/>
                <wp:wrapNone/>
                <wp:docPr id="2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097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" o:spid="_x0000_s1026" o:spt="20" style="position:absolute;left:0pt;flip:y;margin-left:300.65pt;margin-top:1.65pt;height:0.75pt;width:126.75pt;mso-position-horizontal-relative:margin;z-index:251659264;mso-width-relative:page;mso-height-relative:page;" filled="f" stroked="t" coordsize="21600,21600" o:gfxdata="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D2KBY1QAAAAcBAAAPAAAAAAAA&#10;AAEAIAAAACIAAABkcnMvZG93bnJldi54bWxQSwECFAAUAAAACACHTuJAXRzozxUCAAAFBAAADgAA&#10;AAAAAAABACAAAAAkAQAAZHJzL2Uyb0RvYy54bWxQSwUGAAAAAAYABgBZAQAAqwUAAAAA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</w:p>
    <w:sectPr>
      <w:pgSz w:w="16838" w:h="11906" w:orient="landscape"/>
      <w:pgMar w:top="1701" w:right="1134" w:bottom="850" w:left="1574" w:header="708" w:footer="708" w:gutter="0"/>
      <w:pgNumType w:start="1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48745913"/>
      <w:docPartObj>
        <w:docPartGallery w:val="AutoText"/>
      </w:docPartObj>
    </w:sdtPr>
    <w:sdtEndPr>
      <w:rPr>
        <w:rFonts w:ascii="Times New Roman" w:hAnsi="Times New Roman"/>
      </w:rPr>
    </w:sdtEndPr>
    <w:sdtContent>
      <w:p>
        <w:pPr>
          <w:pStyle w:val="12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 xml:space="preserve">PAGE   \* MERGEFORMAT</w:instrText>
        </w:r>
        <w:r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</w:rPr>
          <w:t>2</w:t>
        </w:r>
        <w:r>
          <w:rPr>
            <w:rFonts w:ascii="Times New Roman" w:hAnsi="Times New Roman"/>
          </w:rPr>
          <w:fldChar w:fldCharType="end"/>
        </w:r>
      </w:p>
    </w:sdtContent>
  </w:sdt>
  <w:p>
    <w:pPr>
      <w:pStyle w:val="1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</w:pPr>
  </w:p>
  <w:p>
    <w:pPr>
      <w:pStyle w:val="1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57DBE"/>
    <w:rsid w:val="00172A27"/>
    <w:rsid w:val="0017378A"/>
    <w:rsid w:val="00182211"/>
    <w:rsid w:val="002B06A1"/>
    <w:rsid w:val="002E220B"/>
    <w:rsid w:val="004624F3"/>
    <w:rsid w:val="004755FC"/>
    <w:rsid w:val="00521150"/>
    <w:rsid w:val="005542E0"/>
    <w:rsid w:val="0056287B"/>
    <w:rsid w:val="00594D72"/>
    <w:rsid w:val="005A3821"/>
    <w:rsid w:val="005B67BB"/>
    <w:rsid w:val="00865F8E"/>
    <w:rsid w:val="008A1186"/>
    <w:rsid w:val="00AE72EB"/>
    <w:rsid w:val="00C512AE"/>
    <w:rsid w:val="00CF59C1"/>
    <w:rsid w:val="00E3457D"/>
    <w:rsid w:val="00F03C35"/>
    <w:rsid w:val="00F21810"/>
    <w:rsid w:val="00F2344F"/>
    <w:rsid w:val="00F50785"/>
    <w:rsid w:val="00FC4DFE"/>
    <w:rsid w:val="2B0B1E69"/>
    <w:rsid w:val="39374000"/>
    <w:rsid w:val="52163F76"/>
    <w:rsid w:val="6A1433DD"/>
    <w:rsid w:val="76CC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qFormat="1" w:uiPriority="99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sz w:val="28"/>
    </w:rPr>
  </w:style>
  <w:style w:type="paragraph" w:styleId="3">
    <w:name w:val="heading 2"/>
    <w:basedOn w:val="1"/>
    <w:next w:val="1"/>
    <w:qFormat/>
    <w:uiPriority w:val="0"/>
    <w:pPr>
      <w:keepNext/>
      <w:jc w:val="center"/>
      <w:outlineLvl w:val="1"/>
    </w:pPr>
    <w:rPr>
      <w:b/>
      <w:sz w:val="24"/>
    </w:rPr>
  </w:style>
  <w:style w:type="paragraph" w:styleId="4">
    <w:name w:val="heading 3"/>
    <w:basedOn w:val="1"/>
    <w:next w:val="1"/>
    <w:qFormat/>
    <w:uiPriority w:val="0"/>
    <w:pPr>
      <w:keepNext/>
      <w:jc w:val="center"/>
      <w:outlineLvl w:val="2"/>
    </w:pPr>
    <w:rPr>
      <w:sz w:val="28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otnote reference"/>
    <w:basedOn w:val="5"/>
    <w:unhideWhenUsed/>
    <w:qFormat/>
    <w:uiPriority w:val="99"/>
    <w:rPr>
      <w:vertAlign w:val="superscript"/>
    </w:rPr>
  </w:style>
  <w:style w:type="paragraph" w:styleId="8">
    <w:name w:val="Balloon Text"/>
    <w:basedOn w:val="1"/>
    <w:link w:val="18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9">
    <w:name w:val="Body Text Indent 3"/>
    <w:basedOn w:val="1"/>
    <w:qFormat/>
    <w:uiPriority w:val="0"/>
    <w:pPr>
      <w:jc w:val="center"/>
    </w:pPr>
    <w:rPr>
      <w:sz w:val="24"/>
    </w:rPr>
  </w:style>
  <w:style w:type="paragraph" w:styleId="10">
    <w:name w:val="endnote text"/>
    <w:basedOn w:val="1"/>
    <w:link w:val="16"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11">
    <w:name w:val="footnote text"/>
    <w:basedOn w:val="1"/>
    <w:link w:val="17"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12">
    <w:name w:val="header"/>
    <w:basedOn w:val="1"/>
    <w:link w:val="19"/>
    <w:unhideWhenUsed/>
    <w:uiPriority w:val="99"/>
    <w:pPr>
      <w:tabs>
        <w:tab w:val="center" w:pos="4153"/>
        <w:tab w:val="right" w:pos="8306"/>
      </w:tabs>
    </w:pPr>
  </w:style>
  <w:style w:type="paragraph" w:styleId="13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</w:pPr>
  </w:style>
  <w:style w:type="paragraph" w:customStyle="1" w:styleId="14">
    <w:name w:val="ConsPlusNormal"/>
    <w:qFormat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15">
    <w:name w:val="ConsPlusNonformat"/>
    <w:qFormat/>
    <w:uiPriority w:val="0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16">
    <w:name w:val="Текст концевой сноски Знак"/>
    <w:basedOn w:val="5"/>
    <w:link w:val="10"/>
    <w:qFormat/>
    <w:uiPriority w:val="99"/>
    <w:rPr>
      <w:rFonts w:ascii="Calibri" w:hAnsi="Calibri" w:eastAsia="Calibri" w:cs="Times New Roman"/>
      <w:sz w:val="20"/>
      <w:szCs w:val="20"/>
    </w:rPr>
  </w:style>
  <w:style w:type="character" w:customStyle="1" w:styleId="17">
    <w:name w:val="Текст сноски Знак"/>
    <w:basedOn w:val="5"/>
    <w:link w:val="11"/>
    <w:qFormat/>
    <w:uiPriority w:val="99"/>
    <w:rPr>
      <w:rFonts w:ascii="Calibri" w:hAnsi="Calibri" w:eastAsia="Calibri" w:cs="Times New Roman"/>
      <w:sz w:val="20"/>
      <w:szCs w:val="20"/>
    </w:rPr>
  </w:style>
  <w:style w:type="character" w:customStyle="1" w:styleId="18">
    <w:name w:val="Текст выноски Знак"/>
    <w:basedOn w:val="5"/>
    <w:link w:val="8"/>
    <w:semiHidden/>
    <w:qFormat/>
    <w:uiPriority w:val="99"/>
    <w:rPr>
      <w:rFonts w:ascii="Tahoma" w:hAnsi="Tahoma" w:eastAsia="Calibri" w:cs="Tahoma"/>
      <w:sz w:val="16"/>
      <w:szCs w:val="16"/>
      <w:lang w:eastAsia="en-US"/>
    </w:rPr>
  </w:style>
  <w:style w:type="character" w:customStyle="1" w:styleId="19">
    <w:name w:val="Верхний колонтитул Знак"/>
    <w:basedOn w:val="5"/>
    <w:link w:val="12"/>
    <w:qFormat/>
    <w:uiPriority w:val="99"/>
    <w:rPr>
      <w:rFonts w:ascii="Calibri" w:hAnsi="Calibri" w:eastAsia="Calibri"/>
      <w:sz w:val="22"/>
      <w:szCs w:val="22"/>
      <w:lang w:eastAsia="en-US"/>
    </w:rPr>
  </w:style>
  <w:style w:type="character" w:customStyle="1" w:styleId="20">
    <w:name w:val="Нижний колонтитул Знак"/>
    <w:basedOn w:val="5"/>
    <w:link w:val="13"/>
    <w:qFormat/>
    <w:uiPriority w:val="99"/>
    <w:rPr>
      <w:rFonts w:ascii="Calibri" w:hAnsi="Calibri" w:eastAsia="Calibri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6</Pages>
  <Words>1425</Words>
  <Characters>8127</Characters>
  <Lines>67</Lines>
  <Paragraphs>19</Paragraphs>
  <TotalTime>2</TotalTime>
  <ScaleCrop>false</ScaleCrop>
  <LinksUpToDate>false</LinksUpToDate>
  <CharactersWithSpaces>9533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2024-11-27T11:24:00Z</dcterms:created>
  <dc:creator>Morgunova</dc:creator>
  <cp:lastModifiedBy>BelyaevAS</cp:lastModifiedBy>
  <cp:lastPrinted>2024-11-27T11:34:12Z</cp:lastPrinted>
  <dcterms:modified xsi:type="dcterms:W3CDTF">2024-11-27T11:34:22Z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E37B160D51854779AA974B6F26DE3F4E_13</vt:lpwstr>
  </property>
</Properties>
</file>