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52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52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pStyle w:val="854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85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_______ 2025 года                                                                                                                        № 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приложения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3 декабря 2024 года № 825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«Развитие транспортной</w:t>
      </w:r>
      <w:r>
        <w:rPr>
          <w:rFonts w:eastAsia="Times New Roman"/>
          <w:sz w:val="24"/>
          <w:szCs w:val="24"/>
          <w:lang w:eastAsia="ru-RU"/>
        </w:rPr>
        <w:t xml:space="preserve"> системы Белоярского района» (далее – Программа) к постановлению администрации Белоярского района от 3 декабря 2024 года №825 «Об утверждении муниципальной программы Белоярского района «Развитие транспортной системы Белоярского района»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Развитие транспортной системы Белоярского района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709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356"/>
        </w:trPr>
        <w:tc>
          <w:tcPr>
            <w:tcW w:w="6521" w:type="dxa"/>
            <w:vAlign w:val="center"/>
            <w:textDirection w:val="lrTb"/>
            <w:noWrap w:val="false"/>
          </w:tcPr>
          <w:p>
            <w:pPr>
              <w:pStyle w:val="852"/>
              <w:ind w:right="459"/>
              <w:spacing w:after="0"/>
              <w:rPr>
                <w:sz w:val="24"/>
                <w:szCs w:val="24"/>
              </w:rPr>
            </w:pPr>
            <w: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pStyle w:val="852"/>
              <w:spacing w:after="0"/>
              <w:widowControl w:val="off"/>
              <w:rPr>
                <w:sz w:val="24"/>
                <w:szCs w:val="24"/>
                <w:highlight w:val="green"/>
              </w:rPr>
            </w:pPr>
            <w:r>
              <w:rPr>
                <w:highlight w:val="green"/>
              </w:rPr>
              <w:t xml:space="preserve">1 137 934,5  тысяч рублей</w:t>
            </w:r>
            <w:r>
              <w:rPr>
                <w:sz w:val="24"/>
                <w:szCs w:val="24"/>
                <w:highlight w:val="green"/>
              </w:rPr>
            </w:r>
            <w:r>
              <w:rPr>
                <w:sz w:val="24"/>
                <w:szCs w:val="24"/>
                <w:highlight w:val="green"/>
              </w:rPr>
            </w:r>
          </w:p>
        </w:tc>
      </w:tr>
    </w:tbl>
    <w:p>
      <w:pPr>
        <w:pStyle w:val="852"/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</w:pPr>
      <w:r>
        <w:rPr>
          <w:rFonts w:eastAsia="Times New Roman"/>
          <w:sz w:val="24"/>
          <w:szCs w:val="24"/>
          <w:highlight w:val="none"/>
          <w:lang w:val="ru-RU"/>
        </w:rPr>
        <w:t xml:space="preserve">раздел </w:t>
      </w:r>
      <w:r>
        <w:rPr>
          <w:rFonts w:eastAsia="Times New Roman"/>
          <w:sz w:val="24"/>
          <w:szCs w:val="24"/>
          <w:highlight w:val="none"/>
          <w:lang w:val="ru-RU"/>
        </w:rPr>
        <w:t xml:space="preserve">2 «Показатели муниципальной программы» </w:t>
      </w:r>
      <w:r>
        <w:rPr>
          <w:sz w:val="24"/>
          <w:szCs w:val="24"/>
        </w:rPr>
        <w:t xml:space="preserve">Паспорта муниципальной программы изложить в редакции согласно приложению 1 к настоящему постановлению</w:t>
      </w:r>
      <w:r>
        <w:rPr>
          <w:sz w:val="24"/>
          <w:szCs w:val="24"/>
        </w:rPr>
        <w:t xml:space="preserve">;</w:t>
      </w:r>
      <w:r>
        <w:rPr>
          <w:rFonts w:eastAsia="Times New Roman"/>
          <w:sz w:val="24"/>
          <w:szCs w:val="24"/>
          <w:highlight w:val="none"/>
          <w:lang w:val="ru-RU"/>
        </w:rPr>
      </w:r>
      <w:r>
        <w:rPr>
          <w:rFonts w:eastAsia="Times New Roman"/>
          <w:sz w:val="24"/>
          <w:szCs w:val="24"/>
          <w:highlight w:val="none"/>
          <w:lang w:val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highlight w:val="none"/>
          <w:lang w:val="ru-RU"/>
        </w:rPr>
      </w:r>
      <w:r>
        <w:rPr>
          <w:rFonts w:eastAsia="Times New Roman"/>
          <w:sz w:val="24"/>
          <w:szCs w:val="24"/>
          <w:highlight w:val="none"/>
          <w:lang w:val="ru-RU"/>
        </w:rPr>
        <w:t xml:space="preserve">раздел 3</w:t>
      </w:r>
      <w:r>
        <w:rPr>
          <w:rFonts w:eastAsia="Times New Roman"/>
          <w:sz w:val="24"/>
          <w:szCs w:val="24"/>
          <w:highlight w:val="none"/>
          <w:lang w:val="ru-RU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Структура муниципальной программы</w:t>
      </w:r>
      <w:r/>
      <w:r>
        <w:rPr>
          <w:rFonts w:eastAsia="Times New Roman"/>
          <w:sz w:val="24"/>
          <w:szCs w:val="24"/>
          <w:highlight w:val="none"/>
          <w:lang w:val="ru-RU"/>
        </w:rPr>
        <w:t xml:space="preserve">» </w:t>
      </w:r>
      <w:r>
        <w:rPr>
          <w:sz w:val="24"/>
          <w:szCs w:val="24"/>
        </w:rPr>
        <w:t xml:space="preserve">Паспорта муниципальной программы изложить в редакции согласно приложению 2 к настоящему постановлению</w:t>
      </w:r>
      <w:r>
        <w:rPr>
          <w:sz w:val="24"/>
          <w:szCs w:val="24"/>
        </w:rPr>
        <w:t xml:space="preserve">;</w:t>
      </w:r>
      <w:r/>
      <w:r>
        <w:rPr>
          <w:rFonts w:eastAsia="Times New Roman"/>
          <w:sz w:val="24"/>
          <w:szCs w:val="24"/>
          <w:highlight w:val="none"/>
          <w:lang w:val="ru-RU"/>
        </w:rPr>
      </w:r>
      <w:r/>
    </w:p>
    <w:p>
      <w:pPr>
        <w:pStyle w:val="852"/>
        <w:numPr>
          <w:ilvl w:val="0"/>
          <w:numId w:val="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3</w:t>
      </w:r>
      <w:r>
        <w:rPr>
          <w:sz w:val="24"/>
          <w:szCs w:val="24"/>
        </w:rPr>
        <w:t xml:space="preserve"> к настоящему постановлению</w:t>
      </w:r>
      <w:r>
        <w:rPr>
          <w:rFonts w:eastAsia="Times New Roman"/>
          <w:sz w:val="24"/>
          <w:szCs w:val="24"/>
          <w:lang w:val="en-US" w:eastAsia="ru-RU"/>
        </w:rPr>
        <w:t xml:space="preserve">.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pStyle w:val="85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52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52"/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1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pStyle w:val="852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 Белоярского района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52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_______________2025 года № 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7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pStyle w:val="85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«Развитие транспортной системы Белоярского района»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4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852"/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«2. </w:t>
      </w:r>
      <w:r>
        <w:rPr>
          <w:rFonts w:eastAsia="Times New Roman"/>
          <w:sz w:val="24"/>
          <w:szCs w:val="24"/>
          <w:highlight w:val="none"/>
          <w:lang w:val="ru-RU"/>
        </w:rPr>
        <w:t xml:space="preserve">Показатели муниципальной программы</w:t>
      </w:r>
      <w:r/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5871" w:type="dxa"/>
        <w:tblInd w:w="-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5"/>
        <w:gridCol w:w="2388"/>
        <w:gridCol w:w="992"/>
        <w:gridCol w:w="852"/>
        <w:gridCol w:w="708"/>
        <w:gridCol w:w="851"/>
        <w:gridCol w:w="850"/>
        <w:gridCol w:w="851"/>
        <w:gridCol w:w="850"/>
        <w:gridCol w:w="851"/>
        <w:gridCol w:w="852"/>
        <w:gridCol w:w="2270"/>
        <w:gridCol w:w="1554"/>
        <w:gridCol w:w="1417"/>
      </w:tblGrid>
      <w:tr>
        <w:tblPrEx/>
        <w:trPr>
          <w:trHeight w:val="697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N п/п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Единица измерения (по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ОКЕИ)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Базовое значение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510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Значение показателя по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годам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Документ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155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Ответственный за достижение показателя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27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5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8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7"/>
          <w:tblHeader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1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Цель 1 "Развитие современной транспортной инфраструктуры Белоярского района"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Протяженность сети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км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Решение Думы Белоярского района  от 29  октября 2014 года  № 484 «Об утверждении Стратегии социально-экономического раз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в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ития Белоярского района до 2036 года»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Прирост протяженности сети автомобильных дорог общего пользования местного значения в результате строительства новых автомобильных дорог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км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1,05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ХМАО-Югры от 30.1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2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.2021 года №636-п «О мерах по реализации государственной программы Ханты-Мансийского автономного округа - Югры «Современная транспортная система» 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Управление капитальноо строительства администрации Белоярского района (далее - УКС)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bottom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Прирост протяженно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с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км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ХМАО-Югры от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3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0.12.2021 года №636-п «О мерах по реализации государственной программы Ханты-Мансийского автономного округа - Югры «Современная транспортная система»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УКС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bottom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Прирост протяженности автомобильных дорог общего пользования местного значения, соответствующих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н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ормативным требованиям к транспортно-эксплуатационным показателям, в результате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капитального ремонта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 и ремонта автомобильных дорог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км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152,32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,6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2,7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0,81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ХМАО-Югры от 30.12.2021 года №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636-п «О мерах по реализаци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го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сударственной программы Ханты-Мансийского автономного округа - Югры «Современная транспортная система»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УКС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Доля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 автомобильных дорог общего пользования местного значения,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соответствующих нормативным требованиям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к транспортно-эксплуатационным показа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те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ля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м, в общей протяженности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82,57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red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ru-RU"/>
              </w:rPr>
              <w:t xml:space="preserve">83,44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none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en-US" w:eastAsia="zh-CN" w:bidi="ar"/>
              </w:rPr>
              <w:t xml:space="preserve">8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en-US" w:eastAsia="zh-CN" w:bidi="ar"/>
              </w:rPr>
              <w:t xml:space="preserve">,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en-US" w:eastAsia="zh-CN" w:bidi="ar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red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en-US" w:eastAsia="zh-CN" w:bidi="ar"/>
              </w:rPr>
              <w:t xml:space="preserve">85,3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en-US" w:eastAsia="zh-CN" w:bidi="ar"/>
              </w:rPr>
              <w:t xml:space="preserve">85,3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en-US" w:eastAsia="zh-CN" w:bidi="ar"/>
              </w:rPr>
              <w:t xml:space="preserve">85,3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val="en-US" w:eastAsia="zh-CN" w:bidi="ar"/>
              </w:rPr>
              <w:t xml:space="preserve">85,3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ХМАО-Югры от 10.11.2023 года №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559-п «О государственной программе Ханты-Мансийского автономно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го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 о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круга - Югры «Современная транспортная система» 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увеличение к 2030 году доли соответсвующих нормативным требованиям автомобильных дорого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4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mes New Roman" w:hAnsi="Times New Roman" w:eastAsia="SimSu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eastAsia="SimSun"/>
                <w:sz w:val="18"/>
                <w:szCs w:val="18"/>
                <w:highlight w:val="green"/>
                <w:lang w:eastAsia="ru-RU"/>
              </w:rPr>
              <w:t xml:space="preserve">К</w:t>
            </w:r>
            <w:r>
              <w:rPr>
                <w:rFonts w:ascii="Times New Roman" w:hAnsi="Times New Roman" w:eastAsia="SimSun"/>
                <w:sz w:val="18"/>
                <w:szCs w:val="18"/>
                <w:highlight w:val="green"/>
                <w:lang w:eastAsia="ru-RU"/>
              </w:rPr>
              <w:t xml:space="preserve">оличество реал</w:t>
            </w:r>
            <w:r>
              <w:rPr>
                <w:rFonts w:ascii="Times New Roman" w:hAnsi="Times New Roman" w:eastAsia="SimSun"/>
                <w:sz w:val="18"/>
                <w:szCs w:val="18"/>
                <w:highlight w:val="green"/>
                <w:lang w:eastAsia="ru-RU"/>
              </w:rPr>
              <w:t xml:space="preserve">изованных мероприятий план</w:t>
            </w:r>
            <w:r>
              <w:rPr>
                <w:rFonts w:ascii="Times New Roman" w:hAnsi="Times New Roman" w:eastAsia="SimSun"/>
                <w:sz w:val="18"/>
                <w:szCs w:val="18"/>
                <w:highlight w:val="green"/>
                <w:lang w:eastAsia="ru-RU"/>
              </w:rPr>
              <w:t xml:space="preserve">а социального развития </w:t>
            </w:r>
            <w:r>
              <w:rPr>
                <w:rFonts w:ascii="Times New Roman" w:hAnsi="Times New Roman" w:eastAsia="SimSun"/>
                <w:sz w:val="18"/>
                <w:szCs w:val="18"/>
                <w:highlight w:val="green"/>
                <w:lang w:eastAsia="ru-RU"/>
              </w:rPr>
              <w:t xml:space="preserve">центров</w:t>
            </w:r>
            <w:r>
              <w:rPr>
                <w:rFonts w:ascii="Times New Roman" w:hAnsi="Times New Roman" w:eastAsia="SimSun"/>
                <w:sz w:val="18"/>
                <w:szCs w:val="18"/>
                <w:highlight w:val="green"/>
                <w:lang w:eastAsia="ru-RU"/>
              </w:rPr>
              <w:t xml:space="preserve"> экономиче</w:t>
            </w:r>
            <w:r>
              <w:rPr>
                <w:rFonts w:ascii="Times New Roman" w:hAnsi="Times New Roman" w:eastAsia="SimSun"/>
                <w:sz w:val="18"/>
                <w:szCs w:val="18"/>
                <w:highlight w:val="green"/>
                <w:lang w:eastAsia="ru-RU"/>
              </w:rPr>
              <w:t xml:space="preserve">ского роста </w:t>
            </w:r>
            <w:r>
              <w:rPr>
                <w:rFonts w:ascii="Times New Roman" w:hAnsi="Times New Roman" w:eastAsia="SimSun"/>
                <w:sz w:val="18"/>
                <w:szCs w:val="18"/>
                <w:highlight w:val="green"/>
                <w:lang w:eastAsia="ru-RU"/>
              </w:rPr>
              <w:t xml:space="preserve">ХМАО-Югры</w:t>
            </w:r>
            <w:r>
              <w:rPr>
                <w:rFonts w:ascii="Times New Roman" w:hAnsi="Times New Roman" w:eastAsia="SimSun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SimSun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16"/>
                <w:szCs w:val="16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sz w:val="16"/>
                <w:szCs w:val="16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един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иц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2024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1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2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  <w:t xml:space="preserve">Распоряжение Губернатора ХМАО-Югры от 25.12.2024 года №353-рг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  <w:t xml:space="preserve">«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  <w:t xml:space="preserve">О Плане социального развития це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  <w:t xml:space="preserve">н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  <w:t xml:space="preserve">тров экономического роста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  <w:t xml:space="preserve">Ханты-Мансийского автономного округа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  <w:t xml:space="preserve">–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  <w:t xml:space="preserve"> Югры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  <w:t xml:space="preserve">»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highlight w:val="green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УКС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green"/>
                <w:lang w:eastAsia="zh-CN" w:bidi="ar"/>
              </w:rPr>
            </w:r>
          </w:p>
        </w:tc>
      </w:tr>
      <w:tr>
        <w:tblPrEx/>
        <w:trPr>
          <w:trHeight w:val="358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1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 xml:space="preserve">Цель 2 «Создание условий для обеспечения транспортного обслуж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 xml:space="preserve">ивания населения Белоярского района»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Количес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тво рейсооборотов воздушного транспорта в год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единиц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Решение Думы Белоярского района  от 29  октября 2014 года  № 484 «Об утверждении Стратегии социально-экономического развити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я Белоярского района до 2036 года»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Ко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личество рейсов автомобильного транспорта в год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единиц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Количество рейсооборотов водного транспорта в год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единиц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trHeight w:val="358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1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Цель 3 «Соз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дание услов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ий для обеспечения безопасности доро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white"/>
                <w:lang w:eastAsia="zh-CN"/>
              </w:rPr>
              <w:t xml:space="preserve">жного движения Белоярского района»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white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white"/>
                <w:lang w:eastAsia="zh-CN" w:bidi="ar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Протяженность обслуживаемой улично-дорожной сети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м.п.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Решение Думы Белоярского района  от 29  октября 2014 года  № 4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84 «Об утверждении Стратегии социально-экономиче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ского развития Белоярского района до 2036 года»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Количество парковок и стоянок автотранспорта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единиц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Количество дорожных знаков на улично-дорожной сети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единиц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665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1665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1685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1685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1685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1685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1685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Количество нанесенной дорожной разметки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883"/>
                <w:rFonts w:eastAsia="SimSun"/>
                <w:sz w:val="20"/>
                <w:szCs w:val="20"/>
                <w:lang w:val="en-US" w:eastAsia="zh-CN" w:bidi="ar"/>
              </w:rPr>
              <w:t xml:space="preserve">м</w:t>
            </w:r>
            <w:r>
              <w:rPr>
                <w:rStyle w:val="1_2509"/>
                <w:rFonts w:eastAsia="SimSun"/>
                <w:sz w:val="20"/>
                <w:szCs w:val="20"/>
                <w:lang w:val="en-US" w:eastAsia="zh-CN" w:bidi="ar"/>
              </w:rPr>
              <w:t xml:space="preserve">²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Количество светофорных объектов (групп светофоров) на улично-дорожной сети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штук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УТи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С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pStyle w:val="852"/>
        <w:jc w:val="right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2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pStyle w:val="852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52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52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_______________2025 года № 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jc w:val="center"/>
        <w:spacing w:after="0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pStyle w:val="877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pStyle w:val="85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«Развитие транспортной системы Белоярского района»</w:t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3. Структура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/>
    </w:p>
    <w:tbl>
      <w:tblPr>
        <w:tblW w:w="15900" w:type="dxa"/>
        <w:tblInd w:w="-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3876"/>
        <w:gridCol w:w="18"/>
        <w:gridCol w:w="4536"/>
        <w:gridCol w:w="6761"/>
      </w:tblGrid>
      <w:tr>
        <w:tblPrEx/>
        <w:trPr>
          <w:tblHeader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76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Задачи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4554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761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61"/>
          <w:tblHeader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76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4554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761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5191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(подпрограмма) 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Развитие и совершенствование сети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автомобильных дорог Белоярского 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9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5191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плекс процессных мероприятий «Строительство (реконструкция), капитальный ремонт и ремонт автомобильных дорог общего пользования местного значения»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85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894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 УТиС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1297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912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76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Строительство, реконструкция, капиталь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ремонт и ремонт автомобильных дорог общего пользования местного значения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4554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Увеличение протяженности сети дорог местного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значения, соответствующих нормативным требованиям к транспортно-экс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плуатационным показателям, в результате строительства, реконструкци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и, капитального ремонта и ремонта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 </w:t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также </w:t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в результате </w:t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реализации мероприятий план</w:t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а </w:t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социального развития це</w:t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тров экономического рос</w:t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та </w:t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Ханты-мансийского автономного округа-Югры,</w:t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</w:r>
          </w:p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входящих в со</w:t>
            </w:r>
            <w:r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став Арктической зоны Российской Федерации.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tcW w:w="6761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Протяженность сети автомобильн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ых дорог общего пользования местного значения;</w:t>
            </w:r>
            <w:r/>
            <w:r/>
          </w:p>
          <w:p>
            <w:pPr>
              <w:pStyle w:val="877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Прирост протяженности сети автомобильных дорог общего пользования местного значения в результате строительства новых автомобильных дорог;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77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Прирост протяженности автомобильных дорог общего пользования местного 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начения, соответствующих нормативным требования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 к транспортно-эксплуатационным показателям, в результате реконструкции автомобильных дорог;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77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ниям к транспортно-эксплуатационным показателям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в результате капитального ремонта и ремонта автомобильных дорог;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77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Доля автомобильных дорог общего пользования местного значения, соответствующих нормативным требованиям к транспортно-эксплуатационным показате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лям, в общей протяженности автомобильных дорог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общего пользования местного значения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Количество реализованных мероприятий плана социального развития центров экономического роста ХМАО-Югры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</w:tr>
      <w:tr>
        <w:tblPrEx/>
        <w:trPr>
          <w:trHeight w:val="221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5191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Направление (подпрограмма) «Организация транспортного обслуживания населения Белоярского района»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5191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Комплекс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 процессных мероприятий «Создание условий для предоставле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ния транспортных услуг, организации транспортного обслуживания населения Белоярского района»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85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894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 УТиС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1297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76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Содействие организации регулярных п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еревозок пассажиров и багажа автомобильным (кроме такси),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 воздушным и водным транспортом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4554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Созданы условия для обеспечения потребности населения в регулярных пассажирских перевозках автомобильным, воздушным, водным транспортом, в том числе за счет предоставл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ения субсидий  юридическим лицам, индивидуальным предприн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имателям, а также физическим лицам:</w:t>
              <w:br/>
              <w:t xml:space="preserve">- оказывающим населению услуги по перевозке пассажиров и багажа воздушным транспортом между поселениями в границах Белоярского района;</w:t>
              <w:br/>
              <w:t xml:space="preserve">- оказывающим населению услу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ги по перевозке пассажиров и багажа речным транспортом ме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жду поселениями в границах Белоярского района.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</w:p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Обеспечено осуществление регулярных перевозок пассажиров и багажа автомобильным транспортом по муниципальным маршрутам по регулируемым тарифам.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</w:p>
          <w:p>
            <w:pPr>
              <w:pStyle w:val="852"/>
              <w:spacing w:after="0" w:line="240" w:lineRule="auto"/>
              <w:rPr>
                <w:rFonts w:ascii="Times New Roman" w:hAnsi="Times New Roman" w:eastAsia="SimSu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Обеспече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но обслуживание посадочных площадок для вертолетов в сель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ских поселениях в границах Белоярского района.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</w:p>
        </w:tc>
        <w:tc>
          <w:tcPr>
            <w:tcW w:w="6761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Количество рейсооборотов воздушного транспорта в год</w:t>
              <w:br/>
              <w:t xml:space="preserve">Количество рейсов автомобильного транспорта в год</w:t>
              <w:br/>
              <w:t xml:space="preserve">Количество рейсооборотов водного транспорта в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5191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Направление (подпрограмма) «Повышение безопасности д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орожного движения Белоярского района»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5191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Комплекс процессных мероприятий «Создание условий для обеспечения безопасности дорожного движения»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56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894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 УТиС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1297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876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Содействие в обеспечение безопасного дорож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ного движения на автомобильных дорогах общего пользования местного значения  в городе Белоярский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4554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Обустройство и содержание автомобильных дорог общего пользования местного значения  в городе Белоярски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761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Протяженность обслуживаемой улично-дорожной сети;</w:t>
              <w:br/>
              <w:t xml:space="preserve">Колич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ество парковок и стоянок автотранспорта;</w:t>
              <w:br/>
              <w:t xml:space="preserve">Количество дорожных знаков на улично-дорожной сети;</w:t>
              <w:br/>
              <w:t xml:space="preserve">Количество нанесенной дорожной разметки;</w:t>
              <w:br/>
              <w:t xml:space="preserve">Количество светофорных объектов (групп светофоров) на улично-доро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жной сети.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/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Приложение 3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/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к постановлению администрации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/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 Белоярского района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/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от _______________2025 года № ____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pStyle w:val="852"/>
        <w:jc w:val="center"/>
        <w:spacing w:after="0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pStyle w:val="877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pStyle w:val="85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«Развитие транспортной системы Белоярского района»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4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852"/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4700" w:type="dxa"/>
        <w:tblInd w:w="37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0"/>
        <w:gridCol w:w="6777"/>
        <w:gridCol w:w="967"/>
        <w:gridCol w:w="967"/>
        <w:gridCol w:w="967"/>
        <w:gridCol w:w="967"/>
        <w:gridCol w:w="967"/>
        <w:gridCol w:w="967"/>
        <w:gridCol w:w="1141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N п/п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очник финансового обеспечения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943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6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2029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2030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Муниципальная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программа «Развитие транспортной системы Белоярского района»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311 915,9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208 314,3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243 637,3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124 689,0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124 689,0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124 689,0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1 137 934,5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федеральный бюд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жет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21 787,5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37 773,0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113 000,1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110 450,4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113 000,8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336 451,3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198 915,8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97 863,9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130 636,5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124 689,0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124 689,0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124 689,0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801 483,2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Объем налоговых расходов Белоярского района (с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правочно)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439,1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439,1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439,1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439,1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439,1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439,1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2 634,6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«Строительство (реконструкция), капитальный ремонт и ремонт автомобильных дорог общего пользования местного значения»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152 724,7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154 189,7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118 94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8,3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425 862,7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21 787,5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37 773,0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59 560,5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113 000,1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110 450,4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113 000,8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336 451,3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17 937,1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5 966,3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5 947,5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29 850,9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результат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«Стро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ительство (реконструкция) автомобильных дорог общего пользования местного значения»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2 070,4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2 070,4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2 070,4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2 070,4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результат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«Капитальный ремонт автомобильных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дорог общего пользования местного значения»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9 919,1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153,1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118 948,3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129 020,5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113 000,8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113 000,8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9 919,1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153,1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5 947,5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16 019,7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результа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т «Ремонт автомобильных дорог общего пользования местного значения»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1.4.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результат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«Реализованы мероприятия плана  социального развития центров эконо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мического роста Ханты-Мансийского автономного округа – Югры»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140 735,2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154 036,6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294 771,8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21 787,5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37 773,0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59 560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113 000,1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110 450,4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223 450,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5 947,6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5 813,2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11 760,8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Комплекс процессных мероприятий  «Создание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условий для предоставления транспортных услуг, организации транспортного обслуживания населения Белоярского района» 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100 991,8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9 919,0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40 015,0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40 015,0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40 015,0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40 015,0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270 970,8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100 991,8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9 919,0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40 015,0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40 015,0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40 015,0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40 015,0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270 970,8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результат «Организация регулярных перевозок пассажиров и багажа воздушным транспортом» (всего)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 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55 481,5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9 582,0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25 395,6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25 395,6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25 395,6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25 395,6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166 645,9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55 481,5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9 582,0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25 395,6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25 395,6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25 395,6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25 395,6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166 645,9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результат «Организация регулярных перевозок пассажиров и багажа автомобильным тр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анспортом»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31 517,2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4 614,0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4 614,0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4 614,0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4 614,0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50 073,2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бюджет Белоярско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31 517,2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4 614,0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4 614,0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4 614,0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4 614,0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50 073,2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результат «Организация регулярных перевозок пассажиров и багажа водным трансп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ортом» (всего), 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11 281,0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7 293,3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7 293,3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7 293,3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7 293,3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40 554,2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11 281,0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7 293,3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7 293,3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7 293,3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7 293,3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40 554,2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2.4.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результат «Содержание вертолетных площадок»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2 712,1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137,0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2 712,1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2 712,1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2 712,1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2 712,1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13 697,5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2 712,1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137,0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2 712,1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2 712,1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2 712,1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2 712,1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13 697,5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Комплекс процессных мероприятий «Создание условий для обеспечения безопасности дорожного движения»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79 986,9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81 978,6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500 661,5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79 986,9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81 978,6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500 661,5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результат «Содержание автомобильных дорог местного значения»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79 986,9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81 978,6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0 661,5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79 986,9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81 978,6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84 674,0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  <w:t xml:space="preserve">500 661,5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green"/>
                <w:lang w:eastAsia="ru-RU"/>
              </w:rPr>
            </w:r>
          </w:p>
        </w:tc>
      </w:tr>
    </w:tbl>
    <w:p>
      <w:pPr>
        <w:pStyle w:val="852"/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52"/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52"/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426" w:right="720" w:bottom="720" w:left="720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  <w:tabs>
        <w:tab w:val="center" w:pos="4677" w:leader="none"/>
        <w:tab w:val="right" w:pos="9355" w:leader="none"/>
      </w:tabs>
    </w:pPr>
    <w:r>
      <w:t xml:space="preserve">2</w:t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3">
    <w:name w:val="Заголовок 1"/>
    <w:basedOn w:val="852"/>
    <w:next w:val="852"/>
    <w:link w:val="858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854">
    <w:name w:val="Заголовок 2"/>
    <w:basedOn w:val="852"/>
    <w:next w:val="852"/>
    <w:link w:val="859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855">
    <w:name w:val="Заголовок 3"/>
    <w:basedOn w:val="852"/>
    <w:next w:val="852"/>
    <w:link w:val="860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856">
    <w:name w:val="Основной шрифт абзаца"/>
    <w:next w:val="856"/>
    <w:link w:val="852"/>
    <w:uiPriority w:val="1"/>
    <w:unhideWhenUsed/>
  </w:style>
  <w:style w:type="table" w:styleId="857">
    <w:name w:val="Обычная таблица"/>
    <w:next w:val="857"/>
    <w:link w:val="852"/>
    <w:uiPriority w:val="99"/>
    <w:unhideWhenUsed/>
    <w:tblPr/>
  </w:style>
  <w:style w:type="character" w:styleId="858">
    <w:name w:val="Заголовок 1 Знак"/>
    <w:next w:val="858"/>
    <w:link w:val="853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59">
    <w:name w:val="Заголовок 2 Знак"/>
    <w:next w:val="859"/>
    <w:link w:val="854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60">
    <w:name w:val="Заголовок 3 Знак"/>
    <w:next w:val="860"/>
    <w:link w:val="855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61">
    <w:name w:val="Знак примечания"/>
    <w:next w:val="861"/>
    <w:link w:val="852"/>
    <w:uiPriority w:val="99"/>
    <w:unhideWhenUsed/>
    <w:rPr>
      <w:sz w:val="16"/>
      <w:szCs w:val="16"/>
    </w:rPr>
  </w:style>
  <w:style w:type="paragraph" w:styleId="862">
    <w:name w:val="Текст выноски"/>
    <w:basedOn w:val="852"/>
    <w:next w:val="862"/>
    <w:link w:val="86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3">
    <w:name w:val="Текст выноски Знак"/>
    <w:next w:val="863"/>
    <w:link w:val="862"/>
    <w:uiPriority w:val="99"/>
    <w:semiHidden/>
    <w:rPr>
      <w:rFonts w:ascii="Tahoma" w:hAnsi="Tahoma" w:cs="Tahoma"/>
      <w:sz w:val="16"/>
      <w:szCs w:val="16"/>
    </w:rPr>
  </w:style>
  <w:style w:type="paragraph" w:styleId="864">
    <w:name w:val="Основной текст с отступом 3"/>
    <w:basedOn w:val="852"/>
    <w:next w:val="864"/>
    <w:link w:val="865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65">
    <w:name w:val="Основной текст с отступом 3 Знак"/>
    <w:next w:val="865"/>
    <w:link w:val="864"/>
    <w:rPr>
      <w:rFonts w:eastAsia="Times New Roman"/>
      <w:sz w:val="24"/>
    </w:rPr>
  </w:style>
  <w:style w:type="paragraph" w:styleId="866">
    <w:name w:val="Текст примечания"/>
    <w:basedOn w:val="852"/>
    <w:next w:val="866"/>
    <w:link w:val="867"/>
    <w:uiPriority w:val="99"/>
    <w:unhideWhenUsed/>
    <w:pPr>
      <w:spacing w:line="240" w:lineRule="auto"/>
    </w:pPr>
    <w:rPr>
      <w:sz w:val="20"/>
      <w:szCs w:val="20"/>
    </w:rPr>
  </w:style>
  <w:style w:type="character" w:styleId="867">
    <w:name w:val="Текст примечания Знак"/>
    <w:next w:val="867"/>
    <w:link w:val="866"/>
    <w:uiPriority w:val="99"/>
    <w:semiHidden/>
    <w:rPr>
      <w:sz w:val="20"/>
      <w:szCs w:val="20"/>
    </w:rPr>
  </w:style>
  <w:style w:type="paragraph" w:styleId="868">
    <w:name w:val="Тема примечания"/>
    <w:basedOn w:val="866"/>
    <w:next w:val="866"/>
    <w:link w:val="869"/>
    <w:uiPriority w:val="99"/>
    <w:unhideWhenUsed/>
    <w:rPr>
      <w:b/>
      <w:bCs/>
    </w:rPr>
  </w:style>
  <w:style w:type="character" w:styleId="869">
    <w:name w:val="Тема примечания Знак"/>
    <w:next w:val="869"/>
    <w:link w:val="868"/>
    <w:uiPriority w:val="99"/>
    <w:semiHidden/>
    <w:rPr>
      <w:b/>
      <w:bCs/>
      <w:sz w:val="20"/>
      <w:szCs w:val="20"/>
    </w:rPr>
  </w:style>
  <w:style w:type="paragraph" w:styleId="870">
    <w:name w:val="Верхний колонтитул"/>
    <w:basedOn w:val="852"/>
    <w:next w:val="870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>
    <w:name w:val="Верхний колонтитул Знак"/>
    <w:next w:val="871"/>
    <w:link w:val="870"/>
    <w:uiPriority w:val="99"/>
    <w:rPr>
      <w:sz w:val="22"/>
      <w:szCs w:val="22"/>
      <w:lang w:eastAsia="en-US"/>
    </w:rPr>
  </w:style>
  <w:style w:type="paragraph" w:styleId="872">
    <w:name w:val="Нижний колонтитул"/>
    <w:basedOn w:val="852"/>
    <w:next w:val="872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>
    <w:name w:val="Нижний колонтитул Знак"/>
    <w:next w:val="873"/>
    <w:link w:val="872"/>
    <w:uiPriority w:val="99"/>
    <w:rPr>
      <w:sz w:val="22"/>
      <w:szCs w:val="22"/>
      <w:lang w:eastAsia="en-US"/>
    </w:rPr>
  </w:style>
  <w:style w:type="paragraph" w:styleId="874">
    <w:name w:val="Обычный (веб)"/>
    <w:basedOn w:val="852"/>
    <w:next w:val="874"/>
    <w:link w:val="852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75">
    <w:name w:val="Абзац списка"/>
    <w:basedOn w:val="852"/>
    <w:next w:val="875"/>
    <w:link w:val="852"/>
    <w:uiPriority w:val="34"/>
    <w:qFormat/>
    <w:pPr>
      <w:contextualSpacing/>
      <w:ind w:left="720"/>
    </w:pPr>
  </w:style>
  <w:style w:type="paragraph" w:styleId="876">
    <w:name w:val="Без интервала"/>
    <w:next w:val="876"/>
    <w:link w:val="852"/>
    <w:uiPriority w:val="1"/>
    <w:qFormat/>
    <w:rPr>
      <w:sz w:val="22"/>
      <w:szCs w:val="22"/>
      <w:lang w:val="ru-RU" w:eastAsia="en-US" w:bidi="ar-SA"/>
    </w:rPr>
  </w:style>
  <w:style w:type="paragraph" w:styleId="877">
    <w:name w:val="ConsPlusNormal"/>
    <w:next w:val="877"/>
    <w:link w:val="878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78">
    <w:name w:val="ConsPlusNormal Знак"/>
    <w:next w:val="878"/>
    <w:link w:val="877"/>
    <w:rPr>
      <w:rFonts w:ascii="Arial" w:hAnsi="Arial" w:eastAsia="Times New Roman" w:cs="Arial"/>
    </w:rPr>
  </w:style>
  <w:style w:type="paragraph" w:styleId="879">
    <w:name w:val="ConsPlusTitle"/>
    <w:next w:val="879"/>
    <w:link w:val="852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880">
    <w:name w:val="Рецензия"/>
    <w:next w:val="880"/>
    <w:link w:val="852"/>
    <w:uiPriority w:val="99"/>
    <w:semiHidden/>
    <w:rPr>
      <w:sz w:val="22"/>
      <w:szCs w:val="22"/>
      <w:lang w:val="ru-RU" w:eastAsia="en-US" w:bidi="ar-SA"/>
    </w:rPr>
  </w:style>
  <w:style w:type="character" w:styleId="881">
    <w:name w:val="font21"/>
    <w:next w:val="881"/>
    <w:link w:val="852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82">
    <w:name w:val="font41"/>
    <w:next w:val="882"/>
    <w:link w:val="852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83">
    <w:name w:val="font11"/>
    <w:next w:val="883"/>
    <w:link w:val="852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  <w:style w:type="character" w:styleId="1_2509" w:customStyle="1">
    <w:name w:val="font31"/>
    <w:next w:val="649"/>
    <w:link w:val="630"/>
    <w:rPr>
      <w:rFonts w:ascii="Calibri" w:hAnsi="Calibri" w:cs="Calibri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StateykoAV</cp:lastModifiedBy>
  <cp:revision>5</cp:revision>
  <dcterms:created xsi:type="dcterms:W3CDTF">2025-06-09T06:55:00Z</dcterms:created>
  <dcterms:modified xsi:type="dcterms:W3CDTF">2025-10-13T12:21:57Z</dcterms:modified>
</cp:coreProperties>
</file>