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09"/>
        <w:jc w:val="center"/>
      </w:pPr>
      <w:r/>
      <w:r/>
    </w:p>
    <w:p>
      <w:pPr>
        <w:pStyle w:val="909"/>
        <w:jc w:val="center"/>
      </w:pPr>
      <w:r/>
      <w:r/>
    </w:p>
    <w:p>
      <w:pPr>
        <w:pStyle w:val="909"/>
        <w:jc w:val="left"/>
      </w:pPr>
      <w:r>
        <w:t xml:space="preserve">от 29 декабря 2025 года                                                                                                          № 921</w:t>
      </w:r>
      <w:r/>
    </w:p>
    <w:p>
      <w:pPr>
        <w:pStyle w:val="90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 855 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eastAsia="Times New Roman"/>
          <w:sz w:val="24"/>
          <w:szCs w:val="24"/>
          <w:lang w:eastAsia="ru-RU"/>
        </w:rPr>
        <w:t xml:space="preserve">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1 «Муниципальная программа Белоярского района «Управление муниципальными финансами в Белоярском районе» (д</w:t>
      </w:r>
      <w:r>
        <w:rPr>
          <w:rFonts w:eastAsia="Times New Roman"/>
          <w:sz w:val="24"/>
          <w:szCs w:val="24"/>
          <w:lang w:eastAsia="ru-RU"/>
        </w:rPr>
        <w:t xml:space="preserve">алее – муниципальная программа) к постановлению администрации Белоярского района от 5 декабря 2024 года          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 xml:space="preserve"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«Управление муниципальными финансами в Белоярском районе» (далее – Паспорт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программы)  изложить</w:t>
      </w:r>
      <w:r>
        <w:rPr>
          <w:rFonts w:eastAsia="Times New Roman"/>
          <w:sz w:val="24"/>
          <w:szCs w:val="24"/>
          <w:lang w:eastAsia="ru-RU"/>
        </w:rPr>
        <w:t xml:space="preserve">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0" w:firstLine="0"/>
        <w:jc w:val="lef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499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69"/>
        <w:gridCol w:w="3819"/>
      </w:tblGrid>
      <w:tr>
        <w:tblPrEx/>
        <w:trPr>
          <w:trHeight w:val="686"/>
        </w:trPr>
        <w:tc>
          <w:tcPr>
            <w:tcBorders>
              <w:right w:val="singl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1 884 568,3</w:t>
            </w:r>
            <w:r>
              <w:rPr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sz w:val="24"/>
                <w:szCs w:val="24"/>
                <w:lang w:eastAsia="zh-CN" w:bidi="ar"/>
              </w:rPr>
              <w:t xml:space="preserve">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74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позицию 3.2 раздела 3 «Структура муниципальной программы» Паспорта муниципальной программы изложить в следующей редакции: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024" w:type="pct"/>
        <w:jc w:val="center"/>
        <w:tblInd w:w="92" w:type="dxa"/>
        <w:tblLayout w:type="fixed"/>
        <w:tblLook w:val="04A0" w:firstRow="1" w:lastRow="0" w:firstColumn="1" w:lastColumn="0" w:noHBand="0" w:noVBand="1"/>
      </w:tblPr>
      <w:tblGrid>
        <w:gridCol w:w="732"/>
        <w:gridCol w:w="2560"/>
        <w:gridCol w:w="3511"/>
        <w:gridCol w:w="2739"/>
      </w:tblGrid>
      <w:tr>
        <w:tblPrEx/>
        <w:trPr>
          <w:jc w:val="center"/>
          <w:trHeight w:val="72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№</w:t>
            </w:r>
            <w:r>
              <w:rPr>
                <w:color w:val="000000"/>
                <w:lang w:val="en-US" w:eastAsia="zh-CN" w:bidi="ar"/>
              </w:rPr>
              <w:t xml:space="preserve">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Задачи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структурного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7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Связь</w:t>
            </w:r>
            <w:r>
              <w:rPr>
                <w:color w:val="000000"/>
                <w:lang w:val="en-US" w:eastAsia="zh-CN" w:bidi="ar"/>
              </w:rPr>
              <w:t xml:space="preserve"> с </w:t>
            </w:r>
            <w:r>
              <w:rPr>
                <w:color w:val="000000"/>
                <w:lang w:val="en-US" w:eastAsia="zh-CN" w:bidi="ar"/>
              </w:rPr>
              <w:t xml:space="preserve">показателями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300"/>
          <w:tblHeader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5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351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73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3</w:t>
            </w:r>
            <w:r>
              <w:rPr>
                <w:color w:val="000000"/>
                <w:lang w:val="en-US" w:eastAsia="zh-CN" w:bidi="ar"/>
              </w:rPr>
              <w:t xml:space="preserve">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881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Комплекс процессных мероприятий «Выравнивание бюджетной обеспеченности  и обеспечение сбалансированности бюджетов поселений в границах Белоярского района»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5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Ответственный за реализацию:  Комитет по финансам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351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реализации</w:t>
            </w:r>
            <w:r>
              <w:rPr>
                <w:color w:val="000000"/>
                <w:lang w:val="en-US" w:eastAsia="zh-CN" w:bidi="ar"/>
              </w:rPr>
              <w:t xml:space="preserve">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7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247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3</w:t>
            </w:r>
            <w:r>
              <w:rPr>
                <w:color w:val="000000"/>
                <w:lang w:val="en-US" w:eastAsia="zh-CN" w:bidi="ar"/>
              </w:rPr>
              <w:t xml:space="preserve">.2.1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Поддержание устойчивости исполнения бюджетов поселений в границах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3511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Выравнивание финансовых возможностей и содействие сбалансированности местных бюджетов</w:t>
            </w:r>
            <w:r>
              <w:rPr>
                <w:color w:val="000000"/>
                <w:lang w:eastAsia="zh-CN" w:bidi="ar"/>
              </w:rPr>
              <w:t xml:space="preserve">, в том числе </w:t>
            </w:r>
            <w:r>
              <w:rPr>
                <w:color w:val="000000"/>
                <w:lang w:eastAsia="zh-CN" w:bidi="ar"/>
              </w:rPr>
              <w:t xml:space="preserve">в</w:t>
            </w:r>
            <w:r>
              <w:rPr>
                <w:color w:val="000000"/>
                <w:lang w:eastAsia="zh-CN" w:bidi="ar"/>
              </w:rPr>
              <w:t xml:space="preserve">ыравнивание бюджетной обеспеченности и сокращение разрыва в уровне бюджетной обеспеченности  поселений в границах Белоярского района.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739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Доля поселений Белоярского района, уровень расчетной бюджетной обеспеченности которых после предоставления дотации на выравнивание бюджетной обеспеченности из бюджета Белоярского района составляет более 90% от установленного критерия выравнивания поселений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3</w:t>
            </w:r>
            <w:r>
              <w:rPr>
                <w:color w:val="000000"/>
                <w:lang w:val="en-US" w:eastAsia="zh-CN" w:bidi="ar"/>
              </w:rPr>
              <w:t xml:space="preserve">.2.2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3511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Обеспечение сбалансированности бюджетов поселений в границах Белоярского района, предоставление межбюджетных трансфертов на обеспечение сбалансированности бюджетов поселений в границах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</w:t>
      </w:r>
      <w:r>
        <w:rPr>
          <w:rFonts w:eastAsia="Times New Roman"/>
          <w:sz w:val="24"/>
          <w:szCs w:val="24"/>
          <w:lang w:eastAsia="ru-RU"/>
        </w:rPr>
        <w:t xml:space="preserve">приложению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позицию 8.1. раздела 4.1 «</w:t>
      </w:r>
      <w:r>
        <w:rPr>
          <w:rFonts w:eastAsia="Times New Roman"/>
          <w:sz w:val="24"/>
          <w:szCs w:val="24"/>
          <w:lang w:eastAsia="ru-RU"/>
        </w:rPr>
        <w:t xml:space="preserve">Перечень мероприятий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Паспорта муниципальной программы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44"/>
        <w:gridCol w:w="3809"/>
      </w:tblGrid>
      <w:tr>
        <w:tblPrEx/>
        <w:trPr>
          <w:trHeight w:val="1770"/>
          <w:tblHeader/>
        </w:trPr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№ мероприятия в соответствии с  разделом 4 паспорта муниципальной программы</w:t>
            </w:r>
            <w:r/>
          </w:p>
        </w:tc>
        <w:tc>
          <w:tcPr>
            <w:tcW w:w="38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Наименование мероприятия</w:t>
            </w:r>
            <w:r/>
          </w:p>
        </w:tc>
        <w:tc>
          <w:tcPr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Содержание мероприятия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8.1</w:t>
            </w:r>
            <w:r/>
          </w:p>
        </w:tc>
        <w:tc>
          <w:tcPr>
            <w:tcW w:w="3844" w:type="dxa"/>
            <w:textDirection w:val="lrTb"/>
            <w:noWrap w:val="false"/>
          </w:tcPr>
          <w:p>
            <w:pPr>
              <w:spacing w:after="0" w:line="240" w:lineRule="auto"/>
              <w:rPr>
                <w:lang w:eastAsia="zh-CN" w:bidi="ar"/>
              </w:rPr>
            </w:pPr>
            <w:r>
              <w:t xml:space="preserve">«Выравнивание финансовых возможностей и содействие сбалансированности местных бюджетов»</w:t>
            </w:r>
            <w:r>
              <w:rPr>
                <w:lang w:eastAsia="zh-CN" w:bidi="ar"/>
              </w:rPr>
            </w:r>
            <w:r>
              <w:rPr>
                <w:lang w:eastAsia="zh-CN" w:bidi="ar"/>
              </w:rPr>
            </w:r>
          </w:p>
        </w:tc>
        <w:tc>
          <w:tcPr>
            <w:tcW w:w="3809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t xml:space="preserve">Расчет, организация распределения дотаций на выравнивание бюджетной обеспеченности поселений </w:t>
            </w:r>
            <w:r>
              <w:rPr>
                <w:color w:val="000000"/>
                <w:lang w:eastAsia="zh-CN" w:bidi="ar"/>
              </w:rPr>
              <w:t xml:space="preserve">границах Белоярского района</w:t>
            </w:r>
            <w:r>
              <w:t xml:space="preserve"> из бюджета Белоярского района</w:t>
            </w:r>
            <w:r/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20" w:leader="none"/>
        </w:tabs>
        <w:rPr>
          <w:rFonts w:eastAsia="Times New Roman"/>
          <w:sz w:val="24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0" w:right="851" w:bottom="964" w:left="155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С.П.Маненков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декабря 2025 года № 921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вносимые в раздел 4 Паспорта муниципальной программы Белоярского района</w:t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«Управление муниципальными финансами в Белоярском районе»</w:t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right="-29"/>
        <w:jc w:val="center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Финансовое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4440" w:type="dxa"/>
        <w:tblInd w:w="91" w:type="dxa"/>
        <w:tblLook w:val="04A0" w:firstRow="1" w:lastRow="0" w:firstColumn="1" w:lastColumn="0" w:noHBand="0" w:noVBand="1"/>
      </w:tblPr>
      <w:tblGrid>
        <w:gridCol w:w="980"/>
        <w:gridCol w:w="5759"/>
        <w:gridCol w:w="1078"/>
        <w:gridCol w:w="1078"/>
        <w:gridCol w:w="1078"/>
        <w:gridCol w:w="1077"/>
        <w:gridCol w:w="1077"/>
        <w:gridCol w:w="1077"/>
        <w:gridCol w:w="1236"/>
      </w:tblGrid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N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7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2" w:space="0"/>
              <w:left w:val="none" w:color="000000" w:sz="4" w:space="0"/>
              <w:bottom w:val="single" w:color="auto" w:sz="2" w:space="0"/>
              <w:right w:val="single" w:color="auto" w:sz="2" w:space="0"/>
            </w:tcBorders>
            <w:tcW w:w="7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57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2025 </w:t>
            </w:r>
            <w:r>
              <w:rPr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2026 </w:t>
            </w:r>
            <w:r>
              <w:rPr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2027 </w:t>
            </w:r>
            <w:r>
              <w:rPr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2028</w:t>
            </w:r>
            <w:r>
              <w:rPr>
                <w:sz w:val="20"/>
                <w:szCs w:val="20"/>
                <w:lang w:eastAsia="zh-CN" w:bidi="ar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2029</w:t>
            </w:r>
            <w:r>
              <w:rPr>
                <w:sz w:val="20"/>
                <w:szCs w:val="20"/>
                <w:lang w:eastAsia="zh-CN" w:bidi="ar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2030</w:t>
            </w:r>
            <w:r>
              <w:rPr>
                <w:sz w:val="20"/>
                <w:szCs w:val="20"/>
                <w:lang w:eastAsia="zh-CN" w:bidi="ar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2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«Управление муниципальными финансами в Белоярском районе»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446 310,5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276 306,1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355 232,2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268 906,5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268 906,5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268 906,5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1 884 568,3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4 751,7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5 172,1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31 361,8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202 428,3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106 999,7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106 563,7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106 563,7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106 563,7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106 563,7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735 682,8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239 130,5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164 134,3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243 309,0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156 983,3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156 983,3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156 983,3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1 117 523,7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налоговых расходов Белоярского района (</w:t>
            </w:r>
            <w:r>
              <w:rPr>
                <w:sz w:val="20"/>
                <w:szCs w:val="20"/>
              </w:rPr>
              <w:t xml:space="preserve">справочно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93 750,0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проект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Развитие экосистемы поддержки гражданских инициатив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44 399,0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44 399,0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31 079,3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31 079,3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13 319,7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13 319,7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Инициативный проект «</w:t>
            </w:r>
            <w:r>
              <w:rPr>
                <w:sz w:val="20"/>
                <w:szCs w:val="20"/>
              </w:rPr>
              <w:t xml:space="preserve">Торум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Хары</w:t>
            </w:r>
            <w:r>
              <w:rPr>
                <w:sz w:val="20"/>
                <w:szCs w:val="20"/>
              </w:rPr>
              <w:t xml:space="preserve">» / «Под открытым небом». Благоустройство этнокультурного парка «Ай Курт» в сельском поселении Сосновка, 3 этап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13 995,2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13 995,2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9 796,6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9 796,6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4 198,6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4 198,6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Благоустройство общественной территории «Двор мечты - 2 этап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8 186,3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8 186,3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5 730,4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5 730,4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Ресурс-трек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Траектория гения»: создание креативного пространства возле ресурсного центра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2 533,3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2 533,3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«Благоустройство центральной площадки в </w:t>
            </w:r>
            <w:r>
              <w:rPr>
                <w:sz w:val="20"/>
                <w:szCs w:val="20"/>
              </w:rPr>
              <w:t xml:space="preserve">с.Казым</w:t>
            </w:r>
            <w:r>
              <w:rPr>
                <w:sz w:val="20"/>
                <w:szCs w:val="20"/>
              </w:rPr>
              <w:t xml:space="preserve">. Площадь перед школой «</w:t>
            </w:r>
            <w:r>
              <w:rPr>
                <w:sz w:val="20"/>
                <w:szCs w:val="20"/>
              </w:rPr>
              <w:t xml:space="preserve">Омащ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хар</w:t>
            </w:r>
            <w:r>
              <w:rPr>
                <w:sz w:val="20"/>
                <w:szCs w:val="20"/>
              </w:rPr>
              <w:t xml:space="preserve">», 2 этап»</w:t>
            </w:r>
            <w:r>
              <w:rPr>
                <w:sz w:val="20"/>
                <w:szCs w:val="20"/>
              </w:rPr>
              <w:t xml:space="preserve">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14 151,4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14 151,4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9 906,0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9 906,0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4 245,4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4 245,4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Обустройство многофункциональной парковой зоны сельского поселения </w:t>
            </w:r>
            <w:r>
              <w:rPr>
                <w:sz w:val="20"/>
                <w:szCs w:val="20"/>
              </w:rPr>
              <w:t xml:space="preserve">Лыхма</w:t>
            </w:r>
            <w:r>
              <w:rPr>
                <w:sz w:val="20"/>
                <w:szCs w:val="20"/>
              </w:rPr>
              <w:t xml:space="preserve"> «ПАРК «СЕМЕЙНЫЙ» - 5 этап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5 532,8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5 532,8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3 873,0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3 873,0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1 659,8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1 659,8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Эффективное управление резервными средствами и муниципальным долгом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15 852,1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42 342,3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87 098,2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147 610,1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15 852,1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42 342,3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87 098,2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147 610,1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Управление резервными средствами бюджета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15 612,3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42 078,8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86 825,7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146 016,8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15 612,3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42 078,8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86 825,7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146 016,8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Обслуживание муниципального долга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1 593,3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1 593,3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Планирование ассигнований на погашение долговых обязательств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&lt;*&gt;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555 893,5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644 812,4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4 087 861,5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555 893,5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644</w:t>
            </w:r>
            <w:bookmarkStart w:id="0" w:name="_GoBack"/>
            <w:r/>
            <w:bookmarkEnd w:id="0"/>
            <w:r>
              <w:rPr>
                <w:sz w:val="20"/>
                <w:szCs w:val="20"/>
              </w:rPr>
              <w:t xml:space="preserve"> 812,4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721 788,9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4 087 861,5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Повышение прозрачности и информационной доступности бюджета и бюджетного процесса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Повышение финансовой грамотности на территории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Финансовая поддержка некоммерческих организаций на реализацию мероприятий, направленных на повышение финансовой грамотности на территории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Обеспечение деятельности казенного учреждения, осуществляющего полномочия по ведению централизованного бухгалтерского учета и отчетности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30 591,4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27 359,4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167 422,4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30 591,4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27 359,4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27 367,9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167 422,4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Обеспечение деятельности органов местного самоуправления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71 340,1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36 254,7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371 998,8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71 340,1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36 254,7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371 998,8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Обеспечение выполнения функций управления муниципальными финансами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71 340,1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36 254,7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371 998,8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71 340,1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36 254,7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371 998,8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Финансовое обеспечение осуществления органами местного самоуправления поселений в границах Белоярского района переданных полномочий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66 179,1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5 205,3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92 955,2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4 751,7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5 172,1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31 361,8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61 085,5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61 251,5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61 050,0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61 050,0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61 050,0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61 050,0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Предоставление межбюджетных трансфертов в форме субвенций на осуществление отдельных государственных полномочий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4 787,2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5 205,3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31 563,3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4 751,7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5 172,1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5 359,5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31 361,8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Выравнивание бюджетной обеспеченности  и обеспечение сбалансированности бюджетов поселений в границах Белоярского района</w:t>
            </w:r>
            <w:r>
              <w:rPr>
                <w:sz w:val="20"/>
                <w:szCs w:val="20"/>
              </w:rPr>
              <w:t xml:space="preserve">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215 058,8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165 144,4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169 272,4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169 272,4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169 272,4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169 272,4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1 057 292,8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110 263,5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106 966,5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643 352,0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104 795,3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58 177,9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62 741,9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62 741,9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62 741,9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62 741,9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413 940,8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«Выравнивание финансовых возможностей и содействие сбалансированности местных бюджетов»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134 448,1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131 356,3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131 160,5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131 160,5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131 160,5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131 160,5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790 446,4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110 263,5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106 966,5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106 530,5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643 352,0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24 184,6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24 389,8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24 630,0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24 630,0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24 630,0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24 630,0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147 094,4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Обеспечение сбалансированности бюджетов поселений в границах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80 610,7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33 788,1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266 846,4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80 610,7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33 788,1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38 111,9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266 846,4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2 650,0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2 650,0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2 650,0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2 650,0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2 450,0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9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06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40" w:type="dxa"/>
            <w:textDirection w:val="lrTb"/>
            <w:noWrap w:val="false"/>
          </w:tcPr>
          <w:p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  <w:r>
              <w:rPr>
                <w:sz w:val="18"/>
                <w:szCs w:val="18"/>
                <w:lang w:eastAsia="zh-CN" w:bidi="ar"/>
              </w:rPr>
            </w:r>
            <w:r>
              <w:rPr>
                <w:sz w:val="18"/>
                <w:szCs w:val="18"/>
                <w:lang w:eastAsia="zh-CN" w:bidi="ar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160" w:line="259" w:lineRule="auto"/>
      </w:pPr>
      <w:r/>
      <w:r/>
    </w:p>
    <w:p>
      <w:pPr>
        <w:jc w:val="center"/>
        <w:spacing w:after="160" w:line="259" w:lineRule="auto"/>
      </w:pPr>
      <w:r>
        <w:t xml:space="preserve">________________</w:t>
      </w:r>
      <w:r/>
    </w:p>
    <w:sectPr>
      <w:headerReference w:type="default" r:id="rId10"/>
      <w:headerReference w:type="first" r:id="rId11"/>
      <w:footnotePr/>
      <w:endnotePr/>
      <w:type w:val="nextPage"/>
      <w:pgSz w:w="16838" w:h="11905" w:orient="landscape"/>
      <w:pgMar w:top="1275" w:right="1134" w:bottom="850" w:left="1134" w:header="18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>
      <w:instrText xml:space="preserve">PAGE \* MERGEFORMAT</w:instrTex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9">
    <w:name w:val="Heading 1"/>
    <w:basedOn w:val="708"/>
    <w:next w:val="708"/>
    <w:link w:val="902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710">
    <w:name w:val="Heading 2"/>
    <w:basedOn w:val="708"/>
    <w:next w:val="708"/>
    <w:link w:val="903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711">
    <w:name w:val="Heading 3"/>
    <w:basedOn w:val="708"/>
    <w:next w:val="708"/>
    <w:link w:val="904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paragraph" w:styleId="712">
    <w:name w:val="Heading 4"/>
    <w:basedOn w:val="708"/>
    <w:next w:val="708"/>
    <w:link w:val="7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3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3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3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4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4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8"/>
    <w:uiPriority w:val="10"/>
    <w:rPr>
      <w:sz w:val="48"/>
      <w:szCs w:val="48"/>
    </w:rPr>
  </w:style>
  <w:style w:type="character" w:styleId="728" w:customStyle="1">
    <w:name w:val="Subtitle Char"/>
    <w:basedOn w:val="718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8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8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/>
    </w:rPr>
  </w:style>
  <w:style w:type="paragraph" w:styleId="743">
    <w:name w:val="No Spacing"/>
    <w:uiPriority w:val="1"/>
    <w:qFormat/>
  </w:style>
  <w:style w:type="paragraph" w:styleId="744">
    <w:name w:val="Title"/>
    <w:basedOn w:val="708"/>
    <w:next w:val="708"/>
    <w:link w:val="745"/>
    <w:uiPriority w:val="10"/>
    <w:qFormat/>
    <w:pPr>
      <w:contextualSpacing/>
      <w:spacing w:before="3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08"/>
    <w:next w:val="708"/>
    <w:link w:val="747"/>
    <w:uiPriority w:val="11"/>
    <w:qFormat/>
    <w:pPr>
      <w:spacing w:before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8"/>
    <w:next w:val="708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8"/>
    <w:next w:val="708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8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8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8"/>
    <w:next w:val="708"/>
    <w:link w:val="7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"/>
    <w:basedOn w:val="719"/>
    <w:uiPriority w:val="59"/>
    <w:tblPr/>
  </w:style>
  <w:style w:type="table" w:styleId="75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rPr>
      <w:color w:val="0000ff"/>
      <w:u w:val="single"/>
    </w:rPr>
  </w:style>
  <w:style w:type="paragraph" w:styleId="885">
    <w:name w:val="footnote text"/>
    <w:basedOn w:val="708"/>
    <w:link w:val="915"/>
    <w:uiPriority w:val="99"/>
    <w:unhideWhenUsed/>
    <w:rPr>
      <w:sz w:val="20"/>
      <w:szCs w:val="20"/>
    </w:rPr>
  </w:style>
  <w:style w:type="character" w:styleId="886" w:customStyle="1">
    <w:name w:val="Footnote Text Char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8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8"/>
    <w:next w:val="708"/>
    <w:uiPriority w:val="39"/>
    <w:unhideWhenUsed/>
    <w:pPr>
      <w:spacing w:after="57"/>
    </w:pPr>
  </w:style>
  <w:style w:type="paragraph" w:styleId="892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93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4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5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96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97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98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99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08"/>
    <w:next w:val="708"/>
    <w:uiPriority w:val="99"/>
    <w:unhideWhenUsed/>
    <w:pPr>
      <w:spacing w:after="0"/>
    </w:pPr>
  </w:style>
  <w:style w:type="character" w:styleId="902" w:customStyle="1">
    <w:name w:val="Заголовок 1 Знак"/>
    <w:link w:val="709"/>
    <w:rPr>
      <w:b/>
      <w:bCs/>
      <w:sz w:val="28"/>
      <w:szCs w:val="28"/>
      <w:lang w:val="ru-RU" w:eastAsia="ru-RU" w:bidi="ar-SA"/>
    </w:rPr>
  </w:style>
  <w:style w:type="character" w:styleId="903" w:customStyle="1">
    <w:name w:val="Заголовок 2 Знак"/>
    <w:link w:val="710"/>
    <w:semiHidden/>
    <w:rPr>
      <w:b/>
      <w:bCs/>
      <w:sz w:val="24"/>
      <w:szCs w:val="24"/>
      <w:lang w:val="ru-RU" w:eastAsia="ru-RU" w:bidi="ar-SA"/>
    </w:rPr>
  </w:style>
  <w:style w:type="character" w:styleId="904" w:customStyle="1">
    <w:name w:val="Заголовок 3 Знак"/>
    <w:link w:val="711"/>
    <w:semiHidden/>
    <w:rPr>
      <w:sz w:val="28"/>
      <w:szCs w:val="28"/>
      <w:lang w:val="ru-RU" w:eastAsia="ru-RU" w:bidi="ar-SA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character" w:styleId="906">
    <w:name w:val="annotation reference"/>
    <w:uiPriority w:val="99"/>
    <w:rPr>
      <w:sz w:val="16"/>
      <w:szCs w:val="16"/>
    </w:rPr>
  </w:style>
  <w:style w:type="paragraph" w:styleId="907">
    <w:name w:val="Balloon Text"/>
    <w:basedOn w:val="708"/>
    <w:link w:val="908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08" w:customStyle="1">
    <w:name w:val="Текст выноски Знак"/>
    <w:link w:val="90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09">
    <w:name w:val="Body Text Indent 3"/>
    <w:basedOn w:val="708"/>
    <w:link w:val="910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910" w:customStyle="1">
    <w:name w:val="Основной текст с отступом 3 Знак"/>
    <w:link w:val="909"/>
    <w:rPr>
      <w:rFonts w:eastAsia="Calibri"/>
      <w:sz w:val="24"/>
      <w:szCs w:val="24"/>
      <w:lang w:val="ru-RU" w:eastAsia="ru-RU" w:bidi="ar-SA"/>
    </w:rPr>
  </w:style>
  <w:style w:type="paragraph" w:styleId="911">
    <w:name w:val="annotation text"/>
    <w:basedOn w:val="708"/>
    <w:link w:val="912"/>
    <w:pPr>
      <w:spacing w:after="0" w:line="240" w:lineRule="auto"/>
    </w:pPr>
    <w:rPr>
      <w:rFonts w:eastAsia="Times New Roman"/>
      <w:sz w:val="20"/>
      <w:szCs w:val="20"/>
    </w:rPr>
  </w:style>
  <w:style w:type="character" w:styleId="912" w:customStyle="1">
    <w:name w:val="Текст примечания Знак"/>
    <w:link w:val="911"/>
    <w:rPr>
      <w:rFonts w:ascii="Times New Roman" w:hAnsi="Times New Roman" w:eastAsia="Times New Roman"/>
    </w:rPr>
  </w:style>
  <w:style w:type="paragraph" w:styleId="913">
    <w:name w:val="annotation subject"/>
    <w:basedOn w:val="911"/>
    <w:next w:val="911"/>
    <w:link w:val="914"/>
    <w:uiPriority w:val="99"/>
    <w:unhideWhenUsed/>
    <w:pPr>
      <w:spacing w:after="200" w:line="276" w:lineRule="auto"/>
    </w:pPr>
    <w:rPr>
      <w:b/>
      <w:bCs/>
    </w:rPr>
  </w:style>
  <w:style w:type="character" w:styleId="914" w:customStyle="1">
    <w:name w:val="Тема примечания Знак"/>
    <w:link w:val="913"/>
    <w:uiPriority w:val="99"/>
    <w:semiHidden/>
    <w:rPr>
      <w:rFonts w:ascii="Times New Roman" w:hAnsi="Times New Roman" w:eastAsia="Times New Roman"/>
      <w:b/>
      <w:bCs/>
      <w:lang w:eastAsia="en-US"/>
    </w:rPr>
  </w:style>
  <w:style w:type="character" w:styleId="915" w:customStyle="1">
    <w:name w:val="Текст сноски Знак"/>
    <w:link w:val="885"/>
    <w:uiPriority w:val="99"/>
    <w:semiHidden/>
    <w:rPr>
      <w:lang w:eastAsia="en-US"/>
    </w:rPr>
  </w:style>
  <w:style w:type="character" w:styleId="916" w:customStyle="1">
    <w:name w:val="Верхний колонтитул Знак"/>
    <w:link w:val="752"/>
    <w:uiPriority w:val="99"/>
    <w:rPr>
      <w:sz w:val="22"/>
      <w:szCs w:val="22"/>
      <w:lang w:eastAsia="en-US"/>
    </w:rPr>
  </w:style>
  <w:style w:type="character" w:styleId="917" w:customStyle="1">
    <w:name w:val="Нижний колонтитул Знак"/>
    <w:link w:val="754"/>
    <w:uiPriority w:val="99"/>
    <w:rPr>
      <w:sz w:val="22"/>
      <w:szCs w:val="22"/>
      <w:lang w:eastAsia="en-US"/>
    </w:rPr>
  </w:style>
  <w:style w:type="paragraph" w:styleId="918">
    <w:name w:val="Normal (Web)"/>
    <w:basedOn w:val="708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19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20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21" w:customStyle="1">
    <w:name w:val="ConsPlusTitle"/>
    <w:pPr>
      <w:widowControl w:val="off"/>
    </w:pPr>
    <w:rPr>
      <w:rFonts w:eastAsia="Times New Roman" w:cs="Calibri"/>
      <w:b/>
      <w:bCs/>
      <w:sz w:val="22"/>
      <w:szCs w:val="22"/>
      <w:lang w:eastAsia="ru-RU"/>
    </w:rPr>
  </w:style>
  <w:style w:type="paragraph" w:styleId="922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paragraph" w:styleId="923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24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925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926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927" w:customStyle="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styleId="928" w:customStyle="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Mashburo</cp:lastModifiedBy>
  <cp:revision>5</cp:revision>
  <dcterms:created xsi:type="dcterms:W3CDTF">2025-12-19T10:16:00Z</dcterms:created>
  <dcterms:modified xsi:type="dcterms:W3CDTF">2025-12-29T04:47:30Z</dcterms:modified>
  <cp:version>1048576</cp:version>
</cp:coreProperties>
</file>