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</w:tblPrEx>
        <w:tc>
          <w:tcPr>
            <w:tcW w:w="9464" w:type="dxa"/>
            <w:shd w:val="clear" w:color="auto" w:fill="D9D9D9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Настоящим отдел развития предпринимательства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</w:t>
            </w:r>
            <w:r>
              <w:rPr>
                <w:rFonts w:ascii="Times New Roman" w:hAnsi="Times New Roman" w:eastAsia="Andale Sans UI" w:cs="Tahoma"/>
                <w:kern w:val="1"/>
                <w:sz w:val="24"/>
                <w:szCs w:val="24"/>
                <w:lang w:eastAsia="fa-IR" w:bidi="fa-IR"/>
              </w:rPr>
              <w:t>О Порядке предоставления субсидий из бюджета Белоярского района унитарному муниципальному предприятию «Городской центр торговли»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(далее - проект нормативного правового 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pct5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 Управление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.2023-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.04.2023 г.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>
              <w:fldChar w:fldCharType="begin"/>
            </w:r>
            <w:r>
              <w:instrText xml:space="preserve"> HYPERLINK "mailto:GolubkovaEV@admbel.ru"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GolubkovaEV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admbel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628162, ул. Центральная, д.9, 1 этаж, г. Белоярский, Тюменская область.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ГолубковаЕВ., тел. 8 (34670) 62-137.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shd w:val="clear" w:color="auto" w:fill="auto"/>
          </w:tcPr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Проект постановления администрации Белоярского района «О Порядке предоставления субсидий из бюджета Белоярского района унитарному муниципальному предприятию «Городской центр торговли»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» устанавливает порядок и условия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субсидии в целях возмещения затрат в связи с оказанием услуг по обеспечению жителей труднодоступных и отдаленных населенных пунктов Белоярского района продовольственными и непродовольственными товарами.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Отдел 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акта, опросный лист.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709" w:right="851" w:bottom="851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45E75"/>
    <w:rsid w:val="00076EBF"/>
    <w:rsid w:val="000B71B8"/>
    <w:rsid w:val="00112534"/>
    <w:rsid w:val="001F0547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5E3812"/>
    <w:rsid w:val="00643CE5"/>
    <w:rsid w:val="00694A95"/>
    <w:rsid w:val="00696B8B"/>
    <w:rsid w:val="00800AD6"/>
    <w:rsid w:val="00871CE3"/>
    <w:rsid w:val="0089750B"/>
    <w:rsid w:val="008B57CE"/>
    <w:rsid w:val="008D03D5"/>
    <w:rsid w:val="008E02F2"/>
    <w:rsid w:val="008E22BA"/>
    <w:rsid w:val="00964A39"/>
    <w:rsid w:val="009D4E3D"/>
    <w:rsid w:val="009F5B61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D53788"/>
    <w:rsid w:val="00E7458F"/>
    <w:rsid w:val="00EC633C"/>
    <w:rsid w:val="00FB6173"/>
    <w:rsid w:val="26B8638D"/>
    <w:rsid w:val="2D37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0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0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0"/>
    <w:rPr>
      <w:vertAlign w:val="superscript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page number"/>
    <w:basedOn w:val="5"/>
    <w:qFormat/>
    <w:uiPriority w:val="0"/>
  </w:style>
  <w:style w:type="paragraph" w:styleId="10">
    <w:name w:val="Balloon Text"/>
    <w:basedOn w:val="1"/>
    <w:link w:val="20"/>
    <w:semiHidden/>
    <w:qFormat/>
    <w:uiPriority w:val="0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5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basedOn w:val="5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customStyle="1" w:styleId="17">
    <w:name w:val="Заголовок 2 Знак"/>
    <w:basedOn w:val="5"/>
    <w:link w:val="3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basedOn w:val="5"/>
    <w:link w:val="4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9">
    <w:name w:val="Основной текст с отступом 3 Знак"/>
    <w:basedOn w:val="5"/>
    <w:link w:val="11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">
    <w:name w:val="Текст выноски Знак"/>
    <w:basedOn w:val="5"/>
    <w:link w:val="10"/>
    <w:semiHidden/>
    <w:qFormat/>
    <w:uiPriority w:val="0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customStyle="1" w:styleId="23">
    <w:name w:val="Нижний колонтитул Знак"/>
    <w:basedOn w:val="5"/>
    <w:link w:val="14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basedOn w:val="5"/>
    <w:link w:val="13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basedOn w:val="5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1</Pages>
  <Words>517</Words>
  <Characters>2949</Characters>
  <Lines>24</Lines>
  <Paragraphs>6</Paragraphs>
  <TotalTime>0</TotalTime>
  <ScaleCrop>false</ScaleCrop>
  <LinksUpToDate>false</LinksUpToDate>
  <CharactersWithSpaces>3460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2016-02-24T09:19:00Z</dcterms:created>
  <dc:creator>Плетнёва Татьяна Васильевна</dc:creator>
  <cp:lastModifiedBy>YagodkaYV</cp:lastModifiedBy>
  <cp:lastPrinted>2023-03-23T11:42:00Z</cp:lastPrinted>
  <dcterms:modified xsi:type="dcterms:W3CDTF">2023-04-06T10:35:31Z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467987E2781543B6B9A50BAD21F08E91</vt:lpwstr>
  </property>
</Properties>
</file>