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firstLine="709"/>
        <w:jc w:val="both"/>
        <w:rPr>
          <w:b/>
          <w:highlight w:val="none"/>
        </w:rPr>
      </w:pPr>
      <w:r>
        <w:rPr>
          <w:b/>
          <w:highlight w:val="none"/>
        </w:rPr>
        <w:t>Проверка финансово-хозяйственной деятельности</w:t>
      </w:r>
      <w:r>
        <w:rPr>
          <w:b/>
          <w:color w:val="000000"/>
          <w:highlight w:val="none"/>
        </w:rPr>
        <w:t xml:space="preserve"> муниципального автономного учреждения сельского поселения </w:t>
      </w:r>
      <w:r>
        <w:rPr>
          <w:b/>
          <w:color w:val="000000"/>
          <w:highlight w:val="none"/>
          <w:lang w:val="ru-RU"/>
        </w:rPr>
        <w:t>Сорум</w:t>
      </w:r>
      <w:r>
        <w:rPr>
          <w:rFonts w:hint="default"/>
          <w:b/>
          <w:color w:val="000000"/>
          <w:highlight w:val="none"/>
          <w:lang w:val="ru-RU"/>
        </w:rPr>
        <w:t xml:space="preserve"> </w:t>
      </w:r>
      <w:r>
        <w:rPr>
          <w:b/>
          <w:color w:val="000000"/>
          <w:highlight w:val="none"/>
        </w:rPr>
        <w:t>«Центр культуры и спорта»</w:t>
      </w:r>
    </w:p>
    <w:p>
      <w:pPr>
        <w:autoSpaceDE w:val="0"/>
        <w:autoSpaceDN w:val="0"/>
        <w:adjustRightInd w:val="0"/>
        <w:jc w:val="both"/>
        <w:rPr>
          <w:b/>
          <w:bCs/>
          <w:highlight w:val="none"/>
        </w:rPr>
      </w:pPr>
    </w:p>
    <w:p>
      <w:pPr>
        <w:autoSpaceDE w:val="0"/>
        <w:autoSpaceDN w:val="0"/>
        <w:adjustRightInd w:val="0"/>
        <w:ind w:firstLine="709"/>
        <w:jc w:val="both"/>
        <w:rPr>
          <w:bCs/>
          <w:highlight w:val="none"/>
        </w:rPr>
      </w:pPr>
      <w:r>
        <w:rPr>
          <w:rFonts w:eastAsia="Calibri"/>
          <w:highlight w:val="none"/>
          <w:lang w:eastAsia="en-US"/>
        </w:rPr>
        <w:t>Основание для проведения контрольного мероприятия:</w:t>
      </w:r>
      <w:r>
        <w:rPr>
          <w:highlight w:val="none"/>
        </w:rPr>
        <w:t xml:space="preserve"> пункт </w:t>
      </w:r>
      <w:r>
        <w:rPr>
          <w:rFonts w:hint="default"/>
          <w:highlight w:val="none"/>
          <w:lang w:val="ru-RU"/>
        </w:rPr>
        <w:t>5</w:t>
      </w:r>
      <w:r>
        <w:rPr>
          <w:highlight w:val="none"/>
        </w:rPr>
        <w:t xml:space="preserve"> плана контрольной деятельности отдела внутреннего муниципального финансового контроля</w:t>
      </w:r>
      <w:r>
        <w:rPr>
          <w:bCs/>
          <w:highlight w:val="none"/>
        </w:rPr>
        <w:t xml:space="preserve"> Комитета по финансам и налоговой политике администрации Белоярского района</w:t>
      </w:r>
      <w:r>
        <w:rPr>
          <w:highlight w:val="none"/>
        </w:rPr>
        <w:t xml:space="preserve"> на 202</w:t>
      </w:r>
      <w:r>
        <w:rPr>
          <w:rFonts w:hint="default"/>
          <w:highlight w:val="none"/>
          <w:lang w:val="ru-RU"/>
        </w:rPr>
        <w:t>4</w:t>
      </w:r>
      <w:r>
        <w:rPr>
          <w:highlight w:val="none"/>
        </w:rPr>
        <w:t xml:space="preserve"> год, утвержденного распоряжением Комитета по финансам и налоговой политике администрации Белоярского района от 2</w:t>
      </w:r>
      <w:r>
        <w:rPr>
          <w:rFonts w:hint="default"/>
          <w:highlight w:val="none"/>
          <w:lang w:val="ru-RU"/>
        </w:rPr>
        <w:t>9</w:t>
      </w:r>
      <w:r>
        <w:rPr>
          <w:highlight w:val="none"/>
        </w:rPr>
        <w:t xml:space="preserve"> декабря 202</w:t>
      </w:r>
      <w:r>
        <w:rPr>
          <w:rFonts w:hint="default"/>
          <w:highlight w:val="none"/>
          <w:lang w:val="ru-RU"/>
        </w:rPr>
        <w:t>3</w:t>
      </w:r>
      <w:r>
        <w:rPr>
          <w:highlight w:val="none"/>
        </w:rPr>
        <w:t xml:space="preserve"> года № </w:t>
      </w:r>
      <w:r>
        <w:rPr>
          <w:rFonts w:hint="default"/>
          <w:highlight w:val="none"/>
          <w:lang w:val="ru-RU"/>
        </w:rPr>
        <w:t>7</w:t>
      </w:r>
      <w:r>
        <w:rPr>
          <w:highlight w:val="none"/>
        </w:rPr>
        <w:t>5-р «Об утверждении плана контрольной деятельности отдела внутреннего муниципального финансового контроля</w:t>
      </w:r>
      <w:r>
        <w:rPr>
          <w:bCs/>
          <w:highlight w:val="none"/>
        </w:rPr>
        <w:t xml:space="preserve"> Комитета по финансам и налоговой политике администрации Белоярского района</w:t>
      </w:r>
      <w:r>
        <w:rPr>
          <w:highlight w:val="none"/>
        </w:rPr>
        <w:t xml:space="preserve"> на 202</w:t>
      </w:r>
      <w:r>
        <w:rPr>
          <w:rFonts w:hint="default"/>
          <w:highlight w:val="none"/>
          <w:lang w:val="ru-RU"/>
        </w:rPr>
        <w:t>4</w:t>
      </w:r>
      <w:r>
        <w:rPr>
          <w:highlight w:val="none"/>
        </w:rPr>
        <w:t xml:space="preserve"> год», приказ Комитета по финансам и налоговой политике администрации Белоярского района от </w:t>
      </w:r>
      <w:r>
        <w:rPr>
          <w:rFonts w:hint="default"/>
          <w:highlight w:val="none"/>
          <w:lang w:val="ru-RU"/>
        </w:rPr>
        <w:t>16 апреля 2024</w:t>
      </w:r>
      <w:r>
        <w:rPr>
          <w:highlight w:val="none"/>
        </w:rPr>
        <w:t xml:space="preserve"> года № </w:t>
      </w:r>
      <w:r>
        <w:rPr>
          <w:rFonts w:hint="default"/>
          <w:highlight w:val="none"/>
          <w:lang w:val="ru-RU"/>
        </w:rPr>
        <w:t>31</w:t>
      </w:r>
      <w:r>
        <w:rPr>
          <w:highlight w:val="none"/>
        </w:rPr>
        <w:t>-о «О проведении контрольного мероприятия».</w:t>
      </w:r>
    </w:p>
    <w:p>
      <w:pPr>
        <w:ind w:firstLine="709"/>
        <w:jc w:val="both"/>
        <w:rPr>
          <w:sz w:val="10"/>
          <w:szCs w:val="10"/>
          <w:highlight w:val="none"/>
        </w:rPr>
      </w:pPr>
      <w:r>
        <w:rPr>
          <w:highlight w:val="none"/>
        </w:rPr>
        <w:t>Проверяемый период деятельности: с 1 января 202</w:t>
      </w:r>
      <w:r>
        <w:rPr>
          <w:rFonts w:hint="default"/>
          <w:highlight w:val="none"/>
          <w:lang w:val="ru-RU"/>
        </w:rPr>
        <w:t>2</w:t>
      </w:r>
      <w:r>
        <w:rPr>
          <w:highlight w:val="none"/>
        </w:rPr>
        <w:t xml:space="preserve"> года по 31 декабря 202</w:t>
      </w:r>
      <w:r>
        <w:rPr>
          <w:rFonts w:hint="default"/>
          <w:highlight w:val="none"/>
          <w:lang w:val="ru-RU"/>
        </w:rPr>
        <w:t>3</w:t>
      </w:r>
      <w:r>
        <w:rPr>
          <w:highlight w:val="none"/>
        </w:rPr>
        <w:t xml:space="preserve"> года.</w:t>
      </w:r>
    </w:p>
    <w:p>
      <w:pPr>
        <w:spacing w:line="100" w:lineRule="atLeast"/>
        <w:ind w:right="-2" w:firstLine="709"/>
        <w:jc w:val="both"/>
        <w:rPr>
          <w:highlight w:val="none"/>
        </w:rPr>
      </w:pPr>
      <w:r>
        <w:rPr>
          <w:rFonts w:eastAsia="Calibri"/>
          <w:highlight w:val="none"/>
          <w:lang w:eastAsia="en-US"/>
        </w:rPr>
        <w:t xml:space="preserve">Срок проведения проверки: с </w:t>
      </w:r>
      <w:r>
        <w:rPr>
          <w:rFonts w:hint="default" w:eastAsia="Calibri"/>
          <w:highlight w:val="none"/>
          <w:lang w:val="ru-RU" w:eastAsia="en-US"/>
        </w:rPr>
        <w:t>3 мая 2024</w:t>
      </w:r>
      <w:r>
        <w:rPr>
          <w:rFonts w:eastAsia="Calibri"/>
          <w:highlight w:val="none"/>
          <w:lang w:eastAsia="en-US"/>
        </w:rPr>
        <w:t xml:space="preserve"> года по</w:t>
      </w:r>
      <w:r>
        <w:rPr>
          <w:rFonts w:hint="default" w:eastAsia="Calibri"/>
          <w:highlight w:val="none"/>
          <w:lang w:val="ru-RU" w:eastAsia="en-US"/>
        </w:rPr>
        <w:t xml:space="preserve"> 31 мая </w:t>
      </w:r>
      <w:r>
        <w:rPr>
          <w:rFonts w:eastAsia="Calibri"/>
          <w:highlight w:val="none"/>
          <w:lang w:eastAsia="en-US"/>
        </w:rPr>
        <w:t>202</w:t>
      </w:r>
      <w:r>
        <w:rPr>
          <w:rFonts w:hint="default" w:eastAsia="Calibri"/>
          <w:highlight w:val="none"/>
          <w:lang w:val="ru-RU" w:eastAsia="en-US"/>
        </w:rPr>
        <w:t>4</w:t>
      </w:r>
      <w:r>
        <w:rPr>
          <w:rFonts w:eastAsia="Calibri"/>
          <w:highlight w:val="none"/>
          <w:lang w:eastAsia="en-US"/>
        </w:rPr>
        <w:t xml:space="preserve"> года.</w:t>
      </w:r>
      <w:r>
        <w:rPr>
          <w:highlight w:val="none"/>
        </w:rPr>
        <w:t xml:space="preserve"> </w:t>
      </w:r>
    </w:p>
    <w:p>
      <w:pPr>
        <w:tabs>
          <w:tab w:val="left" w:pos="0"/>
        </w:tabs>
        <w:ind w:firstLine="709"/>
        <w:jc w:val="both"/>
        <w:rPr>
          <w:highlight w:val="none"/>
        </w:rPr>
      </w:pPr>
      <w:r>
        <w:rPr>
          <w:highlight w:val="none"/>
        </w:rPr>
        <w:t xml:space="preserve">Общий объем проверенных средств составляет </w:t>
      </w:r>
      <w:r>
        <w:rPr>
          <w:rFonts w:hint="default"/>
          <w:highlight w:val="none"/>
          <w:lang w:val="ru-RU"/>
        </w:rPr>
        <w:t>24 234 059</w:t>
      </w:r>
      <w:r>
        <w:rPr>
          <w:highlight w:val="none"/>
        </w:rPr>
        <w:t xml:space="preserve">  рубл</w:t>
      </w:r>
      <w:r>
        <w:rPr>
          <w:highlight w:val="none"/>
          <w:lang w:val="ru-RU"/>
        </w:rPr>
        <w:t>ей</w:t>
      </w:r>
      <w:r>
        <w:rPr>
          <w:highlight w:val="none"/>
        </w:rPr>
        <w:t xml:space="preserve"> </w:t>
      </w:r>
      <w:r>
        <w:rPr>
          <w:rFonts w:hint="default"/>
          <w:highlight w:val="none"/>
          <w:lang w:val="ru-RU"/>
        </w:rPr>
        <w:t xml:space="preserve">64 </w:t>
      </w:r>
      <w:r>
        <w:rPr>
          <w:highlight w:val="none"/>
        </w:rPr>
        <w:t>копе</w:t>
      </w:r>
      <w:r>
        <w:rPr>
          <w:highlight w:val="none"/>
          <w:lang w:val="ru-RU"/>
        </w:rPr>
        <w:t>йки</w:t>
      </w:r>
      <w:r>
        <w:rPr>
          <w:highlight w:val="none"/>
        </w:rPr>
        <w:t xml:space="preserve">. </w:t>
      </w:r>
    </w:p>
    <w:p>
      <w:pPr>
        <w:tabs>
          <w:tab w:val="left" w:pos="0"/>
        </w:tabs>
        <w:ind w:firstLine="709"/>
        <w:jc w:val="both"/>
        <w:rPr>
          <w:highlight w:val="none"/>
        </w:rPr>
      </w:pPr>
      <w:r>
        <w:rPr>
          <w:highlight w:val="none"/>
        </w:rPr>
        <w:t>Объем выявленных нарушений в суммовом выражении составил 0 рублей.</w:t>
      </w:r>
    </w:p>
    <w:p>
      <w:pPr>
        <w:tabs>
          <w:tab w:val="left" w:pos="0"/>
        </w:tabs>
        <w:ind w:firstLine="709"/>
        <w:jc w:val="both"/>
        <w:rPr>
          <w:highlight w:val="none"/>
        </w:rPr>
      </w:pPr>
      <w:r>
        <w:rPr>
          <w:highlight w:val="none"/>
        </w:rPr>
        <w:t>Количество в</w:t>
      </w:r>
      <w:bookmarkStart w:id="0" w:name="_GoBack"/>
      <w:bookmarkEnd w:id="0"/>
      <w:r>
        <w:rPr>
          <w:highlight w:val="none"/>
        </w:rPr>
        <w:t xml:space="preserve">ыявленных нарушений – </w:t>
      </w:r>
      <w:r>
        <w:rPr>
          <w:rFonts w:hint="default"/>
          <w:highlight w:val="none"/>
          <w:lang w:val="ru-RU"/>
        </w:rPr>
        <w:t>57</w:t>
      </w:r>
      <w:r>
        <w:rPr>
          <w:highlight w:val="none"/>
        </w:rPr>
        <w:t>:</w:t>
      </w:r>
    </w:p>
    <w:p>
      <w:pPr>
        <w:ind w:firstLine="567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</w:rPr>
        <w:t xml:space="preserve"> </w:t>
      </w:r>
      <w:r>
        <w:rPr>
          <w:rFonts w:hint="default"/>
          <w:sz w:val="24"/>
          <w:szCs w:val="24"/>
          <w:highlight w:val="none"/>
          <w:lang w:val="ru-RU"/>
        </w:rPr>
        <w:t xml:space="preserve">- </w:t>
      </w:r>
      <w:r>
        <w:rPr>
          <w:sz w:val="24"/>
          <w:szCs w:val="24"/>
          <w:highlight w:val="none"/>
          <w:lang w:val="ru-RU"/>
        </w:rPr>
        <w:t>шесть</w:t>
      </w:r>
      <w:r>
        <w:rPr>
          <w:sz w:val="24"/>
          <w:szCs w:val="24"/>
          <w:highlight w:val="none"/>
        </w:rPr>
        <w:t xml:space="preserve"> нарушени</w:t>
      </w:r>
      <w:r>
        <w:rPr>
          <w:sz w:val="24"/>
          <w:szCs w:val="24"/>
          <w:highlight w:val="none"/>
          <w:lang w:val="ru-RU"/>
        </w:rPr>
        <w:t>й</w:t>
      </w:r>
      <w:r>
        <w:rPr>
          <w:sz w:val="24"/>
          <w:szCs w:val="24"/>
          <w:highlight w:val="none"/>
        </w:rPr>
        <w:t xml:space="preserve"> Закона об автономных учреждениях, Устава МАУ «Ц</w:t>
      </w:r>
      <w:r>
        <w:rPr>
          <w:sz w:val="24"/>
          <w:szCs w:val="24"/>
          <w:highlight w:val="none"/>
          <w:lang w:val="ru-RU"/>
        </w:rPr>
        <w:t>ентр</w:t>
      </w:r>
      <w:r>
        <w:rPr>
          <w:rFonts w:hint="default"/>
          <w:sz w:val="24"/>
          <w:szCs w:val="24"/>
          <w:highlight w:val="none"/>
          <w:lang w:val="ru-RU"/>
        </w:rPr>
        <w:t xml:space="preserve"> культуры и спорта</w:t>
      </w:r>
      <w:r>
        <w:rPr>
          <w:sz w:val="24"/>
          <w:szCs w:val="24"/>
          <w:highlight w:val="none"/>
        </w:rPr>
        <w:t>»</w:t>
      </w:r>
      <w:r>
        <w:rPr>
          <w:rFonts w:hint="default"/>
          <w:sz w:val="24"/>
          <w:szCs w:val="24"/>
          <w:highlight w:val="none"/>
          <w:lang w:val="ru-RU"/>
        </w:rPr>
        <w:t>;</w:t>
      </w:r>
    </w:p>
    <w:p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одно нарушение Приказа Минфина 186н;</w:t>
      </w:r>
    </w:p>
    <w:p>
      <w:pPr>
        <w:numPr>
          <w:ilvl w:val="0"/>
          <w:numId w:val="0"/>
        </w:numPr>
        <w:ind w:left="0" w:leftChars="0" w:firstLine="480" w:firstLineChars="20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 xml:space="preserve">- шесть нарушений </w:t>
      </w:r>
      <w:r>
        <w:rPr>
          <w:sz w:val="24"/>
          <w:szCs w:val="24"/>
          <w:highlight w:val="none"/>
          <w:lang w:val="ru-RU"/>
        </w:rPr>
        <w:t>П</w:t>
      </w:r>
      <w:r>
        <w:rPr>
          <w:bCs/>
          <w:sz w:val="24"/>
          <w:szCs w:val="24"/>
          <w:highlight w:val="none"/>
        </w:rPr>
        <w:t>орядка предоставления субсидий на финансовое обеспечение муниципального задания бюджетным и автономным учреждениям Белоярского района (поселений в границах Белоярского района)</w:t>
      </w:r>
      <w:r>
        <w:rPr>
          <w:rFonts w:hint="default"/>
          <w:bCs/>
          <w:sz w:val="24"/>
          <w:szCs w:val="24"/>
          <w:highlight w:val="none"/>
          <w:lang w:val="ru-RU"/>
        </w:rPr>
        <w:t xml:space="preserve">, утвержденного </w:t>
      </w:r>
      <w:r>
        <w:rPr>
          <w:rFonts w:hint="default"/>
          <w:sz w:val="24"/>
          <w:szCs w:val="24"/>
          <w:highlight w:val="none"/>
          <w:lang w:val="ru-RU"/>
        </w:rPr>
        <w:t>Постановлением администрации Белоярского района от 9 июня 2014 года № 753;</w:t>
      </w:r>
    </w:p>
    <w:p>
      <w:pPr>
        <w:ind w:left="0" w:leftChars="0" w:firstLine="480" w:firstLineChars="20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eastAsia="Calibri"/>
          <w:sz w:val="24"/>
          <w:szCs w:val="24"/>
          <w:highlight w:val="none"/>
        </w:rPr>
        <w:t xml:space="preserve">- два нарушения </w:t>
      </w:r>
      <w:r>
        <w:rPr>
          <w:sz w:val="24"/>
          <w:szCs w:val="24"/>
          <w:highlight w:val="none"/>
        </w:rPr>
        <w:t>Порядка определения объема и условия предоставления субсидий на иные цели бюджетным и автономным учреждениям Белоярского района, поселений в границах Белоярского района</w:t>
      </w:r>
      <w:r>
        <w:rPr>
          <w:rFonts w:hint="default"/>
          <w:sz w:val="24"/>
          <w:szCs w:val="24"/>
          <w:highlight w:val="none"/>
          <w:lang w:val="ru-RU"/>
        </w:rPr>
        <w:t xml:space="preserve">, </w:t>
      </w:r>
      <w:r>
        <w:rPr>
          <w:rFonts w:hint="default"/>
          <w:bCs/>
          <w:sz w:val="24"/>
          <w:szCs w:val="24"/>
          <w:highlight w:val="none"/>
          <w:lang w:val="ru-RU"/>
        </w:rPr>
        <w:t xml:space="preserve">утвержденного </w:t>
      </w:r>
      <w:r>
        <w:rPr>
          <w:rFonts w:hint="default"/>
          <w:sz w:val="24"/>
          <w:szCs w:val="24"/>
          <w:highlight w:val="none"/>
          <w:lang w:val="ru-RU"/>
        </w:rPr>
        <w:t>Постановлением администрации Белоярского района от 9 июня 2014 года № 753;</w:t>
      </w:r>
    </w:p>
    <w:p>
      <w:pPr>
        <w:ind w:left="0" w:leftChars="0" w:firstLine="480" w:firstLineChars="20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два нарушения распоряжения Комитета по финансам и налоговой политике администрации Белоярского района от 19 января 2021 года № 12-р;</w:t>
      </w:r>
    </w:p>
    <w:p>
      <w:pPr>
        <w:ind w:left="0" w:leftChars="0" w:firstLine="480" w:firstLineChars="20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 xml:space="preserve">- два нарушения Соглашения на иные цели </w:t>
      </w:r>
      <w:r>
        <w:rPr>
          <w:rFonts w:eastAsia="Calibri"/>
          <w:sz w:val="24"/>
          <w:szCs w:val="24"/>
          <w:highlight w:val="none"/>
        </w:rPr>
        <w:t xml:space="preserve">между администрацией сельского поселения </w:t>
      </w:r>
      <w:r>
        <w:rPr>
          <w:rFonts w:eastAsia="Calibri"/>
          <w:sz w:val="24"/>
          <w:szCs w:val="24"/>
          <w:highlight w:val="none"/>
          <w:lang w:val="ru-RU"/>
        </w:rPr>
        <w:t>Сорум</w:t>
      </w:r>
      <w:r>
        <w:rPr>
          <w:rFonts w:hint="default" w:eastAsia="Calibri"/>
          <w:sz w:val="24"/>
          <w:szCs w:val="24"/>
          <w:highlight w:val="none"/>
          <w:lang w:val="ru-RU"/>
        </w:rPr>
        <w:t xml:space="preserve"> </w:t>
      </w:r>
      <w:r>
        <w:rPr>
          <w:rFonts w:eastAsia="Calibri"/>
          <w:sz w:val="24"/>
          <w:szCs w:val="24"/>
          <w:highlight w:val="none"/>
        </w:rPr>
        <w:t xml:space="preserve">и </w:t>
      </w:r>
      <w:r>
        <w:rPr>
          <w:sz w:val="24"/>
          <w:szCs w:val="24"/>
          <w:highlight w:val="none"/>
        </w:rPr>
        <w:t>МАУ «</w:t>
      </w:r>
      <w:r>
        <w:rPr>
          <w:sz w:val="24"/>
          <w:szCs w:val="24"/>
          <w:highlight w:val="none"/>
          <w:lang w:val="ru-RU"/>
        </w:rPr>
        <w:t>Центр</w:t>
      </w:r>
      <w:r>
        <w:rPr>
          <w:rFonts w:hint="default"/>
          <w:sz w:val="24"/>
          <w:szCs w:val="24"/>
          <w:highlight w:val="none"/>
          <w:lang w:val="ru-RU"/>
        </w:rPr>
        <w:t xml:space="preserve"> культуры и спорта</w:t>
      </w:r>
      <w:r>
        <w:rPr>
          <w:sz w:val="24"/>
          <w:szCs w:val="24"/>
          <w:highlight w:val="none"/>
        </w:rPr>
        <w:t>»</w:t>
      </w:r>
      <w:r>
        <w:rPr>
          <w:rFonts w:hint="default"/>
          <w:sz w:val="24"/>
          <w:szCs w:val="24"/>
          <w:highlight w:val="none"/>
          <w:lang w:val="ru-RU"/>
        </w:rPr>
        <w:t>;</w:t>
      </w:r>
    </w:p>
    <w:p>
      <w:pPr>
        <w:ind w:left="0" w:leftChars="0" w:firstLine="480" w:firstLineChars="20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одно нарушение Инструкции № 157н;</w:t>
      </w:r>
    </w:p>
    <w:p>
      <w:pPr>
        <w:ind w:left="0" w:leftChars="0" w:firstLine="480" w:firstLineChars="20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четыре нарушения Приказа Минфина № 274н.</w:t>
      </w:r>
    </w:p>
    <w:p>
      <w:pPr>
        <w:ind w:left="0" w:leftChars="0" w:firstLine="480" w:firstLineChars="20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двенадцать нарушений приказа Минфина № 52н.</w:t>
      </w:r>
    </w:p>
    <w:p>
      <w:pPr>
        <w:ind w:left="0" w:leftChars="0" w:firstLine="480" w:firstLineChars="20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два нарушения решения Совета депутатов от 29 сентября 2006 года № 20;</w:t>
      </w:r>
    </w:p>
    <w:p>
      <w:pPr>
        <w:ind w:left="0" w:leftChars="0" w:firstLine="480" w:firstLineChars="200"/>
        <w:jc w:val="both"/>
        <w:rPr>
          <w:rFonts w:hint="default"/>
          <w:b w:val="0"/>
          <w:bCs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 xml:space="preserve">- четыре нарушения </w:t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  <w:t>Закона о бухгалтерском учете;</w:t>
      </w:r>
    </w:p>
    <w:p>
      <w:pPr>
        <w:ind w:left="0" w:leftChars="0" w:firstLine="480" w:firstLineChars="20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три нарушения приказов МАУ «Центр культуры и спорта» в части оплаты труда;</w:t>
      </w:r>
    </w:p>
    <w:p>
      <w:pPr>
        <w:ind w:left="0" w:leftChars="0" w:firstLine="480" w:firstLineChars="20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одно нарушение распоряжения администрации сельского поселения Сорум от 10 июля 2023 года № 101-р «О</w:t>
      </w:r>
      <w:r>
        <w:rPr>
          <w:rFonts w:hint="default" w:eastAsia="Calibri"/>
          <w:color w:val="auto"/>
          <w:sz w:val="24"/>
          <w:szCs w:val="24"/>
          <w:highlight w:val="none"/>
          <w:lang w:val="ru-RU"/>
        </w:rPr>
        <w:t xml:space="preserve"> назначении временно исполняющего обязанности директора муниципального автономного учреждения сельского поселения Сорум «Центр культуры и спорта»;</w:t>
      </w:r>
    </w:p>
    <w:p>
      <w:pPr>
        <w:ind w:firstLine="567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два нарушения части 2 статьи 22 ТК РФ;</w:t>
      </w:r>
    </w:p>
    <w:p>
      <w:pPr>
        <w:ind w:firstLine="567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 xml:space="preserve">- одно нарушение пункта 4.5.2 Положения об оплате труда, пункта 5.12 раздела </w:t>
      </w:r>
      <w:r>
        <w:rPr>
          <w:rFonts w:hint="default"/>
          <w:sz w:val="24"/>
          <w:szCs w:val="24"/>
          <w:highlight w:val="none"/>
          <w:lang w:val="en-US"/>
        </w:rPr>
        <w:t xml:space="preserve">V </w:t>
      </w:r>
      <w:r>
        <w:rPr>
          <w:rFonts w:hint="default"/>
          <w:sz w:val="24"/>
          <w:szCs w:val="24"/>
          <w:highlight w:val="none"/>
          <w:lang w:val="ru-RU"/>
        </w:rPr>
        <w:t>Методических рекомендаций;</w:t>
      </w:r>
    </w:p>
    <w:p>
      <w:pPr>
        <w:ind w:firstLine="567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одно нарушение пункта 6.3 Положения об оплате труда;</w:t>
      </w:r>
    </w:p>
    <w:p>
      <w:pPr>
        <w:ind w:firstLine="567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 xml:space="preserve">- два нарушения пункта 4.5.1 Положения об оплате труда, пункта 5.4 раздела </w:t>
      </w:r>
      <w:r>
        <w:rPr>
          <w:rFonts w:hint="default"/>
          <w:sz w:val="24"/>
          <w:szCs w:val="24"/>
          <w:highlight w:val="none"/>
          <w:lang w:val="en-US"/>
        </w:rPr>
        <w:t xml:space="preserve">V </w:t>
      </w:r>
      <w:r>
        <w:rPr>
          <w:rFonts w:hint="default"/>
          <w:sz w:val="24"/>
          <w:szCs w:val="24"/>
          <w:highlight w:val="none"/>
          <w:lang w:val="ru-RU"/>
        </w:rPr>
        <w:t>Методических рекомендаций;</w:t>
      </w:r>
    </w:p>
    <w:p>
      <w:pPr>
        <w:ind w:firstLine="567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одно нарушение пункта 4.5.1 Положения об оплате труда, пунктов 3.1, 4.2 Методических рекомендаций;</w:t>
      </w:r>
    </w:p>
    <w:p>
      <w:pPr>
        <w:ind w:firstLine="567"/>
        <w:jc w:val="both"/>
        <w:rPr>
          <w:rFonts w:hint="default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- четыре нарушения пункта 1 статьи 781 ГК РФ.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CE"/>
    <w:rsid w:val="001507B4"/>
    <w:rsid w:val="00320321"/>
    <w:rsid w:val="006B04DA"/>
    <w:rsid w:val="00781B3F"/>
    <w:rsid w:val="008539CE"/>
    <w:rsid w:val="008D760E"/>
    <w:rsid w:val="00A7656F"/>
    <w:rsid w:val="00AE5B12"/>
    <w:rsid w:val="00CB7231"/>
    <w:rsid w:val="00E7243B"/>
    <w:rsid w:val="00EA4A36"/>
    <w:rsid w:val="00F57DBC"/>
    <w:rsid w:val="01F16742"/>
    <w:rsid w:val="13071667"/>
    <w:rsid w:val="2E5B551A"/>
    <w:rsid w:val="365302AE"/>
    <w:rsid w:val="46A64BE8"/>
    <w:rsid w:val="482E4477"/>
    <w:rsid w:val="4D39613E"/>
    <w:rsid w:val="4DF26CF8"/>
    <w:rsid w:val="540B0A49"/>
    <w:rsid w:val="543350B2"/>
    <w:rsid w:val="57AB43F8"/>
    <w:rsid w:val="58B8581B"/>
    <w:rsid w:val="5B871DD5"/>
    <w:rsid w:val="618065AE"/>
    <w:rsid w:val="64756F01"/>
    <w:rsid w:val="6A5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281</Words>
  <Characters>1604</Characters>
  <Lines>13</Lines>
  <Paragraphs>3</Paragraphs>
  <TotalTime>155</TotalTime>
  <ScaleCrop>false</ScaleCrop>
  <LinksUpToDate>false</LinksUpToDate>
  <CharactersWithSpaces>1882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2022-02-15T07:30:00Z</dcterms:created>
  <dc:creator>Янюшкина Елена Ивановна</dc:creator>
  <cp:lastModifiedBy>user</cp:lastModifiedBy>
  <cp:lastPrinted>2024-06-03T09:50:35Z</cp:lastPrinted>
  <dcterms:modified xsi:type="dcterms:W3CDTF">2024-06-03T10:32:37Z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7BDE2DFE9CFF49B885A8A4AB43DB7A12_12</vt:lpwstr>
  </property>
</Properties>
</file>