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C74" w:rsidRDefault="006408DA">
      <w:pPr>
        <w:suppressAutoHyphens w:val="0"/>
        <w:jc w:val="right"/>
        <w:rPr>
          <w:sz w:val="24"/>
          <w:szCs w:val="24"/>
        </w:rPr>
      </w:pPr>
      <w:r>
        <w:rPr>
          <w:sz w:val="24"/>
          <w:szCs w:val="24"/>
        </w:rPr>
        <w:tab/>
        <w:t>Приложение к распоряжению</w:t>
      </w:r>
    </w:p>
    <w:p w:rsidR="007A2C74" w:rsidRDefault="006408DA">
      <w:pPr>
        <w:suppressAutoHyphens w:val="0"/>
        <w:jc w:val="right"/>
        <w:rPr>
          <w:sz w:val="24"/>
          <w:szCs w:val="24"/>
        </w:rPr>
      </w:pPr>
      <w:r>
        <w:rPr>
          <w:sz w:val="24"/>
          <w:szCs w:val="24"/>
        </w:rPr>
        <w:t>Комитета по финансам и налоговой политике</w:t>
      </w:r>
    </w:p>
    <w:p w:rsidR="007A2C74" w:rsidRDefault="006408DA">
      <w:pPr>
        <w:suppressAutoHyphens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Белоярского района</w:t>
      </w:r>
    </w:p>
    <w:p w:rsidR="007A2C74" w:rsidRDefault="00563BB7">
      <w:pPr>
        <w:suppressAutoHyphens w:val="0"/>
        <w:jc w:val="right"/>
        <w:rPr>
          <w:sz w:val="24"/>
          <w:szCs w:val="24"/>
        </w:rPr>
      </w:pPr>
      <w:r>
        <w:rPr>
          <w:sz w:val="24"/>
          <w:szCs w:val="24"/>
        </w:rPr>
        <w:t>от 16 февраля 2024 года № 7</w:t>
      </w:r>
      <w:r w:rsidR="006408DA">
        <w:rPr>
          <w:sz w:val="24"/>
          <w:szCs w:val="24"/>
        </w:rPr>
        <w:t>-р</w:t>
      </w:r>
    </w:p>
    <w:p w:rsidR="007A2C74" w:rsidRDefault="007A2C74">
      <w:pPr>
        <w:suppressAutoHyphens w:val="0"/>
        <w:jc w:val="right"/>
        <w:rPr>
          <w:sz w:val="24"/>
          <w:szCs w:val="24"/>
        </w:rPr>
      </w:pPr>
    </w:p>
    <w:p w:rsidR="007A2C74" w:rsidRDefault="006408DA">
      <w:pPr>
        <w:suppressAutoHyphens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распоряжению</w:t>
      </w:r>
    </w:p>
    <w:p w:rsidR="007A2C74" w:rsidRDefault="006408DA">
      <w:pPr>
        <w:widowControl w:val="0"/>
        <w:suppressAutoHyphens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Комитета по финансам и налоговой политике </w:t>
      </w:r>
    </w:p>
    <w:p w:rsidR="007A2C74" w:rsidRDefault="006408DA">
      <w:pPr>
        <w:widowControl w:val="0"/>
        <w:suppressAutoHyphens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Белоярского района</w:t>
      </w:r>
    </w:p>
    <w:p w:rsidR="007A2C74" w:rsidRDefault="006408DA">
      <w:pPr>
        <w:widowControl w:val="0"/>
        <w:suppressAutoHyphens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от 30 декабря 2015 г</w:t>
      </w:r>
      <w:r w:rsidR="00563BB7">
        <w:rPr>
          <w:sz w:val="24"/>
          <w:szCs w:val="24"/>
        </w:rPr>
        <w:t>ода</w:t>
      </w:r>
      <w:r>
        <w:rPr>
          <w:sz w:val="24"/>
          <w:szCs w:val="24"/>
        </w:rPr>
        <w:t xml:space="preserve"> № 16-р</w:t>
      </w:r>
    </w:p>
    <w:p w:rsidR="007A2C74" w:rsidRDefault="007A2C74">
      <w:pPr>
        <w:widowControl w:val="0"/>
        <w:suppressAutoHyphens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7A2C74" w:rsidRDefault="007A2C74">
      <w:pPr>
        <w:widowControl w:val="0"/>
        <w:suppressAutoHyphens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63BB7" w:rsidRPr="00563BB7" w:rsidRDefault="00563BB7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563BB7">
        <w:rPr>
          <w:b/>
          <w:sz w:val="24"/>
          <w:szCs w:val="24"/>
        </w:rPr>
        <w:t>ПЕРЕЧЕНЬ</w:t>
      </w:r>
    </w:p>
    <w:p w:rsidR="00563BB7" w:rsidRPr="00563BB7" w:rsidRDefault="006408DA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563BB7">
        <w:rPr>
          <w:b/>
          <w:sz w:val="24"/>
          <w:szCs w:val="24"/>
        </w:rPr>
        <w:t xml:space="preserve"> </w:t>
      </w:r>
      <w:r w:rsidR="00563BB7" w:rsidRPr="00563BB7">
        <w:rPr>
          <w:b/>
          <w:sz w:val="24"/>
          <w:szCs w:val="24"/>
        </w:rPr>
        <w:t>ЦЕЛЕЙ (НАПРАВЛЕНИЙ РАСХОДОВАНИЯ) СУБСИДИЙ НА</w:t>
      </w:r>
      <w:bookmarkStart w:id="0" w:name="_GoBack"/>
      <w:bookmarkEnd w:id="0"/>
      <w:r w:rsidR="00563BB7" w:rsidRPr="00563BB7">
        <w:rPr>
          <w:b/>
          <w:sz w:val="24"/>
          <w:szCs w:val="24"/>
        </w:rPr>
        <w:t xml:space="preserve"> ИНЫЕ ЦЕЛИ, НЕ СВЯЗАННЫЕ С ФИНАНСОВЫМ</w:t>
      </w:r>
    </w:p>
    <w:p w:rsidR="00563BB7" w:rsidRPr="00563BB7" w:rsidRDefault="00563BB7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  <w:r w:rsidRPr="00563BB7">
        <w:rPr>
          <w:b/>
          <w:sz w:val="24"/>
          <w:szCs w:val="24"/>
        </w:rPr>
        <w:t xml:space="preserve"> ОБЕСПЕЧЕНИЕМ ВЫПОЛНЕНИЯ БЮДЖЕТНЫМИ И АВТОНОМНЫМИ УЧРЕЖДЕНИЯМИ БЕЛОЯРСКОГО РАЙОНА</w:t>
      </w:r>
      <w:r w:rsidRPr="00563BB7">
        <w:rPr>
          <w:b/>
          <w:bCs/>
          <w:sz w:val="24"/>
          <w:szCs w:val="24"/>
        </w:rPr>
        <w:t xml:space="preserve"> И ПОСЕЛЕНИЙ В ГРАНИЦАХ БЕЛОЯРСКОГО РАЙОНА МУНИЦИПАЛЬНОГО ЗАДАНИЯ НА ОКАЗАНИЕ </w:t>
      </w:r>
    </w:p>
    <w:p w:rsidR="007A2C74" w:rsidRPr="00563BB7" w:rsidRDefault="00563BB7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  <w:r w:rsidRPr="00563BB7">
        <w:rPr>
          <w:b/>
          <w:bCs/>
          <w:sz w:val="24"/>
          <w:szCs w:val="24"/>
        </w:rPr>
        <w:t>МУНИЦИПАЛЬНЫХ УСЛУГ (ВЫПОЛНЕНИЕ РАБОТ)</w:t>
      </w:r>
    </w:p>
    <w:p w:rsidR="007A2C74" w:rsidRDefault="007A2C74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center"/>
        <w:rPr>
          <w:bCs/>
          <w:sz w:val="24"/>
          <w:szCs w:val="24"/>
        </w:rPr>
      </w:pPr>
    </w:p>
    <w:tbl>
      <w:tblPr>
        <w:tblW w:w="14401" w:type="dxa"/>
        <w:tblLook w:val="04A0" w:firstRow="1" w:lastRow="0" w:firstColumn="1" w:lastColumn="0" w:noHBand="0" w:noVBand="1"/>
      </w:tblPr>
      <w:tblGrid>
        <w:gridCol w:w="583"/>
        <w:gridCol w:w="1929"/>
        <w:gridCol w:w="1940"/>
        <w:gridCol w:w="10175"/>
      </w:tblGrid>
      <w:tr w:rsidR="007A2C74" w:rsidTr="00563BB7">
        <w:trPr>
          <w:trHeight w:val="2526"/>
          <w:tblHeader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74" w:rsidRDefault="006408DA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74" w:rsidRDefault="006408DA" w:rsidP="00563BB7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Пункт в соответствии с приложением к постановлению администрации Белоярского района </w:t>
            </w:r>
            <w:r w:rsidR="00563BB7">
              <w:rPr>
                <w:b/>
                <w:sz w:val="24"/>
                <w:szCs w:val="24"/>
              </w:rPr>
              <w:t xml:space="preserve">                   </w:t>
            </w:r>
            <w:r>
              <w:rPr>
                <w:b/>
                <w:sz w:val="24"/>
                <w:szCs w:val="24"/>
              </w:rPr>
              <w:t>от 9</w:t>
            </w:r>
            <w:r w:rsidR="00563BB7">
              <w:rPr>
                <w:b/>
                <w:sz w:val="24"/>
                <w:szCs w:val="24"/>
              </w:rPr>
              <w:t xml:space="preserve"> июня </w:t>
            </w:r>
            <w:r>
              <w:rPr>
                <w:b/>
                <w:sz w:val="24"/>
                <w:szCs w:val="24"/>
              </w:rPr>
              <w:t>2014 года № 753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74" w:rsidRDefault="006408DA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Аналитический код учета операция с субсидиями на иные цели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C74" w:rsidRDefault="006408DA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целей субсидий на иные цели</w:t>
            </w:r>
          </w:p>
        </w:tc>
      </w:tr>
      <w:tr w:rsidR="007A2C74" w:rsidTr="00563BB7">
        <w:trPr>
          <w:trHeight w:val="125"/>
          <w:tblHeader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74" w:rsidRDefault="006408DA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74" w:rsidRDefault="006408DA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74" w:rsidRDefault="006408DA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C74" w:rsidRDefault="006408DA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Наказы избирателей депутатам Думы Тюменской области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мероприятий, источником финансового обеспечения которых являются прочие безвозмездные поступления бюджету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мероприятий, источником финансового обеспечения которых являются межбюджетные трансферты бюджету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в сфере культуры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в сфере физической культуры и спорта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в сфере образования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меры социальной поддержки работников муниципальных образовательных учреждений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в области социальной политики</w:t>
            </w:r>
          </w:p>
        </w:tc>
      </w:tr>
      <w:tr w:rsidR="007A2C74" w:rsidTr="00563BB7">
        <w:trPr>
          <w:trHeight w:val="94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муниципальной собственности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доступности предоставляемых инвалидам услуг с учетом имеющихся у них нарушений</w:t>
            </w:r>
          </w:p>
        </w:tc>
      </w:tr>
      <w:tr w:rsidR="007A2C74" w:rsidTr="00563BB7">
        <w:trPr>
          <w:trHeight w:val="6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общественно-просветительских кампаний по распространению идей, принципов и средств формирования доступной среды для инвалидов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выплатам премий и грантов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в сфере охраны окружающей среды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развитию качества содержаний и технологий образования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в области средств массовой информации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отдыха и оздоровления детей из малообеспеченных семей</w:t>
            </w:r>
          </w:p>
        </w:tc>
      </w:tr>
      <w:tr w:rsidR="007A2C74" w:rsidTr="00563BB7">
        <w:trPr>
          <w:trHeight w:val="66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мероприятий, связанных с профилактикой и устранением последствий распространения новой коронавирусной инфекции (COVID-19)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общедоступных муниципальных библиотек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улучшению положения на рынке труда граждан не занятых трудовой деятельностью, и безработных граждан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74" w:rsidRDefault="007A2C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Печать и содержание социальной наружной рекламы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Стипендиальное обеспечение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мероприятий, направленных на повышение финансовой грамотности и формирование финансовой культуры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комплексной безопасности в учреждениях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капитального ремонта объектов муниципальной собственности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текущего ремонта объектов муниципальной собственности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материально - технической базы муниципальных учреждений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ликвидационных, реорганизационных мероприятий и мероприятий по созданию муниципальных учреждений</w:t>
            </w:r>
          </w:p>
        </w:tc>
      </w:tr>
      <w:tr w:rsidR="007A2C74" w:rsidTr="00563BB7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C74" w:rsidRDefault="006408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0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74" w:rsidRDefault="006408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инициативных проектов граждане, а также общественных инициатив</w:t>
            </w:r>
          </w:p>
        </w:tc>
      </w:tr>
    </w:tbl>
    <w:p w:rsidR="007A2C74" w:rsidRDefault="00563BB7" w:rsidP="00563BB7">
      <w:pPr>
        <w:suppressAutoHyphens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sectPr w:rsidR="007A2C74">
      <w:headerReference w:type="default" r:id="rId8"/>
      <w:headerReference w:type="first" r:id="rId9"/>
      <w:pgSz w:w="16838" w:h="11906" w:orient="landscape"/>
      <w:pgMar w:top="1559" w:right="1134" w:bottom="1133" w:left="1134" w:header="0" w:footer="0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322" w:rsidRDefault="006408DA">
      <w:r>
        <w:separator/>
      </w:r>
    </w:p>
  </w:endnote>
  <w:endnote w:type="continuationSeparator" w:id="0">
    <w:p w:rsidR="00706322" w:rsidRDefault="0064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322" w:rsidRDefault="006408DA">
      <w:r>
        <w:separator/>
      </w:r>
    </w:p>
  </w:footnote>
  <w:footnote w:type="continuationSeparator" w:id="0">
    <w:p w:rsidR="00706322" w:rsidRDefault="00640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234174"/>
      <w:docPartObj>
        <w:docPartGallery w:val="AutoText"/>
      </w:docPartObj>
    </w:sdtPr>
    <w:sdtEndPr/>
    <w:sdtContent>
      <w:p w:rsidR="007A2C74" w:rsidRDefault="007A2C74">
        <w:pPr>
          <w:pStyle w:val="a5"/>
          <w:jc w:val="center"/>
        </w:pPr>
      </w:p>
      <w:p w:rsidR="007A2C74" w:rsidRDefault="007A2C74">
        <w:pPr>
          <w:pStyle w:val="a5"/>
          <w:jc w:val="center"/>
        </w:pPr>
      </w:p>
      <w:p w:rsidR="007A2C74" w:rsidRDefault="006408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BB7">
          <w:rPr>
            <w:noProof/>
          </w:rPr>
          <w:t>2</w:t>
        </w:r>
        <w:r>
          <w:fldChar w:fldCharType="end"/>
        </w:r>
      </w:p>
    </w:sdtContent>
  </w:sdt>
  <w:p w:rsidR="007A2C74" w:rsidRDefault="007A2C7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112892"/>
      <w:docPartObj>
        <w:docPartGallery w:val="AutoText"/>
      </w:docPartObj>
    </w:sdtPr>
    <w:sdtEndPr/>
    <w:sdtContent>
      <w:p w:rsidR="007A2C74" w:rsidRDefault="007A2C74">
        <w:pPr>
          <w:pStyle w:val="a5"/>
          <w:jc w:val="center"/>
        </w:pPr>
      </w:p>
      <w:p w:rsidR="007A2C74" w:rsidRDefault="007A2C74">
        <w:pPr>
          <w:pStyle w:val="a5"/>
          <w:jc w:val="center"/>
        </w:pPr>
      </w:p>
      <w:p w:rsidR="007A2C74" w:rsidRDefault="007A2C74">
        <w:pPr>
          <w:pStyle w:val="a5"/>
          <w:jc w:val="center"/>
        </w:pPr>
      </w:p>
      <w:p w:rsidR="007A2C74" w:rsidRDefault="00563BB7">
        <w:pPr>
          <w:pStyle w:val="a5"/>
          <w:jc w:val="center"/>
        </w:pPr>
      </w:p>
    </w:sdtContent>
  </w:sdt>
  <w:p w:rsidR="007A2C74" w:rsidRDefault="007A2C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E24"/>
    <w:rsid w:val="00042E24"/>
    <w:rsid w:val="000A7D41"/>
    <w:rsid w:val="00160CF7"/>
    <w:rsid w:val="00240D53"/>
    <w:rsid w:val="0049344E"/>
    <w:rsid w:val="004E462A"/>
    <w:rsid w:val="004E7B77"/>
    <w:rsid w:val="00563BB7"/>
    <w:rsid w:val="006408DA"/>
    <w:rsid w:val="00706322"/>
    <w:rsid w:val="007A2C74"/>
    <w:rsid w:val="008105D7"/>
    <w:rsid w:val="008844EF"/>
    <w:rsid w:val="00890874"/>
    <w:rsid w:val="008B70AF"/>
    <w:rsid w:val="00A35628"/>
    <w:rsid w:val="00A35FA0"/>
    <w:rsid w:val="00A85EDF"/>
    <w:rsid w:val="00AA4465"/>
    <w:rsid w:val="00AC3AF2"/>
    <w:rsid w:val="00BE3552"/>
    <w:rsid w:val="00C53224"/>
    <w:rsid w:val="00CC5089"/>
    <w:rsid w:val="00D31A97"/>
    <w:rsid w:val="00D40409"/>
    <w:rsid w:val="00D662D9"/>
    <w:rsid w:val="00DD7480"/>
    <w:rsid w:val="00E768CC"/>
    <w:rsid w:val="00E8775D"/>
    <w:rsid w:val="00ED75F7"/>
    <w:rsid w:val="00F96FAA"/>
    <w:rsid w:val="00FF7F0C"/>
    <w:rsid w:val="392B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D5F3"/>
  <w15:docId w15:val="{2730A843-F369-471D-902E-71216E9F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nhideWhenUsed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qFormat/>
    <w:pPr>
      <w:tabs>
        <w:tab w:val="left" w:pos="851"/>
      </w:tabs>
      <w:ind w:left="1276" w:hanging="1418"/>
      <w:jc w:val="both"/>
    </w:pPr>
    <w:rPr>
      <w:sz w:val="24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qFormat/>
    <w:pPr>
      <w:tabs>
        <w:tab w:val="left" w:pos="851"/>
      </w:tabs>
      <w:jc w:val="both"/>
    </w:pPr>
    <w:rPr>
      <w:sz w:val="24"/>
    </w:rPr>
  </w:style>
  <w:style w:type="paragraph" w:styleId="a8">
    <w:name w:val="index heading"/>
    <w:basedOn w:val="a"/>
    <w:next w:val="10"/>
    <w:qFormat/>
    <w:pPr>
      <w:suppressLineNumbers/>
    </w:pPr>
    <w:rPr>
      <w:rFonts w:cs="Mangal"/>
    </w:rPr>
  </w:style>
  <w:style w:type="paragraph" w:styleId="10">
    <w:name w:val="index 1"/>
    <w:basedOn w:val="a"/>
    <w:next w:val="a"/>
    <w:semiHidden/>
    <w:unhideWhenUsed/>
  </w:style>
  <w:style w:type="paragraph" w:styleId="a9">
    <w:name w:val="Body Text Indent"/>
    <w:basedOn w:val="a"/>
    <w:qFormat/>
    <w:pPr>
      <w:tabs>
        <w:tab w:val="left" w:pos="1418"/>
      </w:tabs>
      <w:ind w:left="1418"/>
    </w:pPr>
    <w:rPr>
      <w:sz w:val="24"/>
    </w:rPr>
  </w:style>
  <w:style w:type="paragraph" w:styleId="aa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footer"/>
    <w:basedOn w:val="a"/>
    <w:link w:val="ac"/>
    <w:unhideWhenUsed/>
    <w:pPr>
      <w:tabs>
        <w:tab w:val="center" w:pos="4677"/>
        <w:tab w:val="right" w:pos="9355"/>
      </w:tabs>
    </w:pPr>
  </w:style>
  <w:style w:type="paragraph" w:styleId="ad">
    <w:name w:val="List"/>
    <w:basedOn w:val="a7"/>
    <w:qFormat/>
    <w:rPr>
      <w:rFonts w:cs="Mangal"/>
    </w:rPr>
  </w:style>
  <w:style w:type="paragraph" w:styleId="ae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20">
    <w:name w:val="Body Text Indent 2"/>
    <w:basedOn w:val="a"/>
    <w:qFormat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table" w:styleId="af">
    <w:name w:val="Table Grid"/>
    <w:basedOn w:val="a1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pPr>
      <w:suppressAutoHyphens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Pr>
      <w:lang w:eastAsia="ru-RU" w:bidi="ar-SA"/>
    </w:rPr>
  </w:style>
  <w:style w:type="character" w:customStyle="1" w:styleId="ac">
    <w:name w:val="Нижний колонтитул Знак"/>
    <w:basedOn w:val="a0"/>
    <w:link w:val="ab"/>
    <w:rPr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60B6E1-F779-40D3-B72E-39404F72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RePack by Diakov</cp:lastModifiedBy>
  <cp:revision>84</cp:revision>
  <cp:lastPrinted>2021-03-01T04:48:00Z</cp:lastPrinted>
  <dcterms:created xsi:type="dcterms:W3CDTF">2015-11-18T09:01:00Z</dcterms:created>
  <dcterms:modified xsi:type="dcterms:W3CDTF">2024-03-05T05:31:00Z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Подпольная</vt:lpwstr>
  </property>
  <property fmtid="{D5CDD505-2E9C-101B-9397-08002B2CF9AE}" pid="3" name="DocSecurity">
    <vt:i4>0</vt:i4>
  </property>
  <property fmtid="{D5CDD505-2E9C-101B-9397-08002B2CF9AE}" pid="4" name="KSOProductBuildVer">
    <vt:lpwstr>1049-11.2.0.9984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